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80" w:rsidRPr="00555F80" w:rsidRDefault="00555F80" w:rsidP="00555F80">
      <w:pPr>
        <w:tabs>
          <w:tab w:val="center" w:pos="4153"/>
          <w:tab w:val="right" w:pos="8306"/>
        </w:tabs>
        <w:rPr>
          <w:rFonts w:ascii="Arial" w:hAnsi="Arial"/>
          <w:szCs w:val="20"/>
          <w:lang w:eastAsia="en-US"/>
        </w:rPr>
      </w:pPr>
      <w:r w:rsidRPr="00555F80">
        <w:rPr>
          <w:rFonts w:ascii="Arial" w:hAnsi="Arial"/>
          <w:noProof/>
          <w:szCs w:val="20"/>
        </w:rPr>
        <w:tab/>
      </w:r>
      <w:r>
        <w:rPr>
          <w:rFonts w:ascii="Arial" w:hAnsi="Arial"/>
          <w:noProof/>
          <w:szCs w:val="20"/>
        </w:rPr>
        <w:drawing>
          <wp:inline distT="0" distB="0" distL="0" distR="0">
            <wp:extent cx="4200525" cy="1209675"/>
            <wp:effectExtent l="0" t="0" r="9525" b="9525"/>
            <wp:docPr id="8" name="Picture 8" descr="Description: C:\Users\juliew\AppData\Local\Microsoft\Windows\Temporary Internet Files\Content.Outlook\GT0T0L0O\safter and stronger dt 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uliew\AppData\Local\Microsoft\Windows\Temporary Internet Files\Content.Outlook\GT0T0L0O\safter and stronger dt logo_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1209675"/>
                    </a:xfrm>
                    <a:prstGeom prst="rect">
                      <a:avLst/>
                    </a:prstGeom>
                    <a:noFill/>
                    <a:ln>
                      <a:noFill/>
                    </a:ln>
                  </pic:spPr>
                </pic:pic>
              </a:graphicData>
            </a:graphic>
          </wp:inline>
        </w:drawing>
      </w:r>
    </w:p>
    <w:p w:rsidR="00685CD6" w:rsidRDefault="00685CD6" w:rsidP="00481897">
      <w:pPr>
        <w:jc w:val="right"/>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CD6359" w:rsidRDefault="000A523A" w:rsidP="00A9043C">
      <w:pPr>
        <w:jc w:val="both"/>
        <w:rPr>
          <w:rFonts w:ascii="Arial" w:hAnsi="Arial" w:cs="Arial"/>
          <w:sz w:val="56"/>
          <w:szCs w:val="56"/>
        </w:rPr>
      </w:pPr>
      <w:r>
        <w:rPr>
          <w:rFonts w:ascii="Arial" w:hAnsi="Arial" w:cs="Arial"/>
          <w:sz w:val="56"/>
          <w:szCs w:val="56"/>
        </w:rPr>
        <w:t>Channel Process</w:t>
      </w:r>
    </w:p>
    <w:p w:rsidR="000A523A" w:rsidRDefault="000A523A" w:rsidP="00A9043C">
      <w:pPr>
        <w:jc w:val="both"/>
        <w:rPr>
          <w:rFonts w:ascii="Arial" w:hAnsi="Arial" w:cs="Arial"/>
          <w:sz w:val="56"/>
          <w:szCs w:val="56"/>
        </w:rPr>
      </w:pPr>
    </w:p>
    <w:p w:rsidR="000A523A" w:rsidRDefault="000A523A" w:rsidP="00A9043C">
      <w:pPr>
        <w:jc w:val="both"/>
        <w:rPr>
          <w:rFonts w:ascii="Arial" w:hAnsi="Arial" w:cs="Arial"/>
          <w:sz w:val="56"/>
          <w:szCs w:val="56"/>
        </w:rPr>
      </w:pPr>
    </w:p>
    <w:p w:rsidR="000A523A" w:rsidRPr="0011316D" w:rsidRDefault="000A523A" w:rsidP="00A9043C">
      <w:pPr>
        <w:jc w:val="both"/>
        <w:rPr>
          <w:rFonts w:ascii="Arial" w:hAnsi="Arial" w:cs="Arial"/>
        </w:rPr>
      </w:pPr>
      <w:r>
        <w:rPr>
          <w:rFonts w:ascii="Arial" w:hAnsi="Arial" w:cs="Arial"/>
          <w:sz w:val="56"/>
          <w:szCs w:val="56"/>
        </w:rPr>
        <w:t>OPERATING PROTOCOL</w:t>
      </w: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FF38E1" w:rsidRPr="0011316D" w:rsidRDefault="00FF38E1" w:rsidP="00A9043C">
      <w:pPr>
        <w:jc w:val="both"/>
        <w:rPr>
          <w:rFonts w:ascii="Arial" w:hAnsi="Arial" w:cs="Arial"/>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AF6544" w:rsidRPr="00FD3F66" w:rsidRDefault="00AF6544" w:rsidP="00A9043C">
      <w:pPr>
        <w:jc w:val="both"/>
        <w:rPr>
          <w:rFonts w:ascii="Arial" w:hAnsi="Arial" w:cs="Arial"/>
          <w:b/>
          <w:sz w:val="32"/>
          <w:szCs w:val="32"/>
        </w:rPr>
      </w:pPr>
      <w:r w:rsidRPr="00FD3F66">
        <w:rPr>
          <w:rFonts w:ascii="Arial" w:hAnsi="Arial" w:cs="Arial"/>
          <w:b/>
          <w:sz w:val="32"/>
          <w:szCs w:val="32"/>
        </w:rPr>
        <w:t>Contents</w:t>
      </w:r>
    </w:p>
    <w:p w:rsidR="00AF6544" w:rsidRPr="0011316D" w:rsidRDefault="00AF6544" w:rsidP="00A9043C">
      <w:pPr>
        <w:jc w:val="both"/>
        <w:rPr>
          <w:rFonts w:ascii="Arial" w:hAnsi="Arial" w:cs="Arial"/>
          <w:sz w:val="32"/>
          <w:szCs w:val="32"/>
        </w:rPr>
      </w:pPr>
    </w:p>
    <w:p w:rsidR="00AF6544" w:rsidRPr="0011316D" w:rsidRDefault="00560774" w:rsidP="00A9043C">
      <w:pPr>
        <w:jc w:val="both"/>
        <w:rPr>
          <w:rFonts w:ascii="Arial" w:hAnsi="Arial" w:cs="Arial"/>
        </w:rPr>
      </w:pPr>
      <w:r w:rsidRPr="0011316D">
        <w:rPr>
          <w:rFonts w:ascii="Arial" w:hAnsi="Arial" w:cs="Arial"/>
        </w:rPr>
        <w:t>Introduction and Background......…………………………………...</w:t>
      </w:r>
      <w:r w:rsidR="00AF6544" w:rsidRPr="0011316D">
        <w:rPr>
          <w:rFonts w:ascii="Arial" w:hAnsi="Arial" w:cs="Arial"/>
        </w:rPr>
        <w:t>3</w:t>
      </w: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Default="00560774" w:rsidP="00A9043C">
      <w:pPr>
        <w:jc w:val="both"/>
        <w:rPr>
          <w:rFonts w:ascii="Arial" w:hAnsi="Arial" w:cs="Arial"/>
        </w:rPr>
      </w:pPr>
      <w:r w:rsidRPr="0011316D">
        <w:rPr>
          <w:rFonts w:ascii="Arial" w:hAnsi="Arial" w:cs="Arial"/>
        </w:rPr>
        <w:t>Definitions ..............................……………………………………....</w:t>
      </w:r>
      <w:r w:rsidR="00AD591D">
        <w:rPr>
          <w:rFonts w:ascii="Arial" w:hAnsi="Arial" w:cs="Arial"/>
        </w:rPr>
        <w:t>4</w:t>
      </w:r>
    </w:p>
    <w:p w:rsidR="00AD591D" w:rsidRDefault="00AD591D" w:rsidP="00A9043C">
      <w:pPr>
        <w:jc w:val="both"/>
        <w:rPr>
          <w:rFonts w:ascii="Arial" w:hAnsi="Arial" w:cs="Arial"/>
        </w:rPr>
      </w:pPr>
    </w:p>
    <w:p w:rsidR="00AD591D" w:rsidRDefault="00AD591D" w:rsidP="00A9043C">
      <w:pPr>
        <w:jc w:val="both"/>
        <w:rPr>
          <w:rFonts w:ascii="Arial" w:hAnsi="Arial" w:cs="Arial"/>
        </w:rPr>
      </w:pPr>
    </w:p>
    <w:p w:rsidR="00AF6544" w:rsidRPr="0011316D" w:rsidRDefault="00AF6544" w:rsidP="00A9043C">
      <w:pPr>
        <w:jc w:val="both"/>
        <w:rPr>
          <w:rFonts w:ascii="Arial" w:hAnsi="Arial" w:cs="Arial"/>
        </w:rPr>
      </w:pPr>
      <w:r w:rsidRPr="0011316D">
        <w:rPr>
          <w:rFonts w:ascii="Arial" w:hAnsi="Arial" w:cs="Arial"/>
        </w:rPr>
        <w:t>The Local Dimension ………………………………………………..</w:t>
      </w:r>
      <w:r w:rsidR="00FD3F66">
        <w:rPr>
          <w:rFonts w:ascii="Arial" w:hAnsi="Arial" w:cs="Arial"/>
        </w:rPr>
        <w:t xml:space="preserve">4 - </w:t>
      </w:r>
      <w:r w:rsidR="00AD591D">
        <w:rPr>
          <w:rFonts w:ascii="Arial" w:hAnsi="Arial" w:cs="Arial"/>
        </w:rPr>
        <w:t>5</w:t>
      </w: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r w:rsidRPr="0011316D">
        <w:rPr>
          <w:rFonts w:ascii="Arial" w:hAnsi="Arial" w:cs="Arial"/>
        </w:rPr>
        <w:t>Scope of the Protocol ……………………………………………….5</w:t>
      </w: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r w:rsidRPr="0011316D">
        <w:rPr>
          <w:rFonts w:ascii="Arial" w:hAnsi="Arial" w:cs="Arial"/>
        </w:rPr>
        <w:t xml:space="preserve">Thresholds for </w:t>
      </w:r>
      <w:r w:rsidR="00AD591D">
        <w:rPr>
          <w:rFonts w:ascii="Arial" w:hAnsi="Arial" w:cs="Arial"/>
        </w:rPr>
        <w:t>Violent Extremism …………………………………</w:t>
      </w:r>
      <w:r w:rsidR="00FD3F66">
        <w:rPr>
          <w:rFonts w:ascii="Arial" w:hAnsi="Arial" w:cs="Arial"/>
        </w:rPr>
        <w:t xml:space="preserve">5 - </w:t>
      </w:r>
      <w:r w:rsidR="00AD591D">
        <w:rPr>
          <w:rFonts w:ascii="Arial" w:hAnsi="Arial" w:cs="Arial"/>
        </w:rPr>
        <w:t>6</w:t>
      </w:r>
    </w:p>
    <w:p w:rsidR="00AF6544" w:rsidRPr="0011316D" w:rsidRDefault="00AF6544" w:rsidP="00A9043C">
      <w:pPr>
        <w:jc w:val="both"/>
        <w:rPr>
          <w:rFonts w:ascii="Arial" w:hAnsi="Arial" w:cs="Arial"/>
        </w:rPr>
      </w:pPr>
    </w:p>
    <w:p w:rsidR="00AD591D" w:rsidRDefault="00AD591D" w:rsidP="00A9043C">
      <w:pPr>
        <w:jc w:val="both"/>
        <w:rPr>
          <w:rFonts w:ascii="Arial" w:hAnsi="Arial" w:cs="Arial"/>
        </w:rPr>
      </w:pPr>
    </w:p>
    <w:p w:rsidR="00AD591D" w:rsidRDefault="00AD591D" w:rsidP="00A9043C">
      <w:pPr>
        <w:jc w:val="both"/>
        <w:rPr>
          <w:rFonts w:ascii="Arial" w:hAnsi="Arial" w:cs="Arial"/>
        </w:rPr>
      </w:pPr>
      <w:r>
        <w:rPr>
          <w:rFonts w:ascii="Arial" w:hAnsi="Arial" w:cs="Arial"/>
        </w:rPr>
        <w:t>Vulnerability In</w:t>
      </w:r>
      <w:r w:rsidR="00FD3F66">
        <w:rPr>
          <w:rFonts w:ascii="Arial" w:hAnsi="Arial" w:cs="Arial"/>
        </w:rPr>
        <w:t>dicators………………………………………….......6</w:t>
      </w:r>
    </w:p>
    <w:p w:rsidR="00AD591D" w:rsidRDefault="00AD591D" w:rsidP="00A9043C">
      <w:pPr>
        <w:jc w:val="both"/>
        <w:rPr>
          <w:rFonts w:ascii="Arial" w:hAnsi="Arial" w:cs="Arial"/>
        </w:rPr>
      </w:pPr>
    </w:p>
    <w:p w:rsidR="00AD591D" w:rsidRDefault="00AD591D" w:rsidP="00A9043C">
      <w:pPr>
        <w:jc w:val="both"/>
        <w:rPr>
          <w:rFonts w:ascii="Arial" w:hAnsi="Arial" w:cs="Arial"/>
        </w:rPr>
      </w:pPr>
    </w:p>
    <w:p w:rsidR="00FD3F66" w:rsidRPr="0011316D" w:rsidRDefault="00FD3F66" w:rsidP="00FD3F66">
      <w:pPr>
        <w:jc w:val="both"/>
        <w:rPr>
          <w:rFonts w:ascii="Arial" w:hAnsi="Arial" w:cs="Arial"/>
        </w:rPr>
      </w:pPr>
      <w:r>
        <w:rPr>
          <w:rFonts w:ascii="Arial" w:hAnsi="Arial" w:cs="Arial"/>
        </w:rPr>
        <w:t>The Channel Project……………………………………………........7</w:t>
      </w:r>
    </w:p>
    <w:p w:rsidR="00FD3F66" w:rsidRDefault="00FD3F66" w:rsidP="00A9043C">
      <w:pPr>
        <w:jc w:val="both"/>
        <w:rPr>
          <w:rFonts w:ascii="Arial" w:hAnsi="Arial" w:cs="Arial"/>
        </w:rPr>
      </w:pPr>
    </w:p>
    <w:p w:rsidR="00FD3F66" w:rsidRDefault="00FD3F66" w:rsidP="00A9043C">
      <w:pPr>
        <w:jc w:val="both"/>
        <w:rPr>
          <w:rFonts w:ascii="Arial" w:hAnsi="Arial" w:cs="Arial"/>
        </w:rPr>
      </w:pPr>
    </w:p>
    <w:p w:rsidR="00AF6544" w:rsidRDefault="00FD3F66" w:rsidP="00A9043C">
      <w:pPr>
        <w:jc w:val="both"/>
        <w:rPr>
          <w:rFonts w:ascii="Arial" w:hAnsi="Arial" w:cs="Arial"/>
        </w:rPr>
      </w:pPr>
      <w:r>
        <w:rPr>
          <w:rFonts w:ascii="Arial" w:hAnsi="Arial" w:cs="Arial"/>
        </w:rPr>
        <w:t xml:space="preserve">The </w:t>
      </w:r>
      <w:r w:rsidR="00C57FEF">
        <w:rPr>
          <w:rFonts w:ascii="Arial" w:hAnsi="Arial" w:cs="Arial"/>
        </w:rPr>
        <w:t>Reporting</w:t>
      </w:r>
      <w:r>
        <w:rPr>
          <w:rFonts w:ascii="Arial" w:hAnsi="Arial" w:cs="Arial"/>
        </w:rPr>
        <w:t xml:space="preserve"> Process</w:t>
      </w:r>
      <w:r w:rsidR="00AD591D">
        <w:rPr>
          <w:rFonts w:ascii="Arial" w:hAnsi="Arial" w:cs="Arial"/>
        </w:rPr>
        <w:t>……………………………………………….</w:t>
      </w:r>
      <w:r w:rsidR="00481897">
        <w:rPr>
          <w:rFonts w:ascii="Arial" w:hAnsi="Arial" w:cs="Arial"/>
        </w:rPr>
        <w:t>7</w:t>
      </w:r>
      <w:r>
        <w:rPr>
          <w:rFonts w:ascii="Arial" w:hAnsi="Arial" w:cs="Arial"/>
        </w:rPr>
        <w:t xml:space="preserve"> - </w:t>
      </w:r>
      <w:r w:rsidR="00C57FEF">
        <w:rPr>
          <w:rFonts w:ascii="Arial" w:hAnsi="Arial" w:cs="Arial"/>
        </w:rPr>
        <w:t>8</w:t>
      </w:r>
    </w:p>
    <w:p w:rsidR="00AD591D" w:rsidRDefault="00AD591D" w:rsidP="00A9043C">
      <w:pPr>
        <w:jc w:val="both"/>
        <w:rPr>
          <w:rFonts w:ascii="Arial" w:hAnsi="Arial" w:cs="Arial"/>
        </w:rPr>
      </w:pPr>
    </w:p>
    <w:p w:rsidR="00AD591D" w:rsidRDefault="00AD591D" w:rsidP="00A9043C">
      <w:pPr>
        <w:jc w:val="both"/>
        <w:rPr>
          <w:rFonts w:ascii="Arial" w:hAnsi="Arial" w:cs="Arial"/>
        </w:rPr>
      </w:pPr>
    </w:p>
    <w:p w:rsidR="00AD591D" w:rsidRDefault="00AD591D" w:rsidP="00A9043C">
      <w:pPr>
        <w:jc w:val="both"/>
        <w:rPr>
          <w:rFonts w:ascii="Arial" w:hAnsi="Arial" w:cs="Arial"/>
        </w:rPr>
      </w:pPr>
      <w:r>
        <w:rPr>
          <w:rFonts w:ascii="Arial" w:hAnsi="Arial" w:cs="Arial"/>
        </w:rPr>
        <w:t xml:space="preserve">Key </w:t>
      </w:r>
      <w:r w:rsidR="00FD3F66">
        <w:rPr>
          <w:rFonts w:ascii="Arial" w:hAnsi="Arial" w:cs="Arial"/>
        </w:rPr>
        <w:t>C</w:t>
      </w:r>
      <w:r w:rsidR="00481897">
        <w:rPr>
          <w:rFonts w:ascii="Arial" w:hAnsi="Arial" w:cs="Arial"/>
        </w:rPr>
        <w:t>ontacts………………………………………………………….</w:t>
      </w:r>
      <w:r w:rsidR="00C57FEF">
        <w:rPr>
          <w:rFonts w:ascii="Arial" w:hAnsi="Arial" w:cs="Arial"/>
        </w:rPr>
        <w:t>8 – 9</w:t>
      </w:r>
    </w:p>
    <w:p w:rsidR="00C57FEF" w:rsidRDefault="00C57FEF" w:rsidP="00A9043C">
      <w:pPr>
        <w:jc w:val="both"/>
        <w:rPr>
          <w:rFonts w:ascii="Arial" w:hAnsi="Arial" w:cs="Arial"/>
        </w:rPr>
      </w:pPr>
    </w:p>
    <w:p w:rsidR="00C57FEF" w:rsidRDefault="00C57FEF" w:rsidP="00A9043C">
      <w:pPr>
        <w:jc w:val="both"/>
        <w:rPr>
          <w:rFonts w:ascii="Arial" w:hAnsi="Arial" w:cs="Arial"/>
        </w:rPr>
      </w:pPr>
    </w:p>
    <w:p w:rsidR="00C57FEF" w:rsidRPr="0011316D" w:rsidRDefault="00C57FEF" w:rsidP="00A9043C">
      <w:pPr>
        <w:jc w:val="both"/>
        <w:rPr>
          <w:rFonts w:ascii="Arial" w:hAnsi="Arial" w:cs="Arial"/>
        </w:rPr>
      </w:pPr>
      <w:r>
        <w:rPr>
          <w:rFonts w:ascii="Arial" w:hAnsi="Arial" w:cs="Arial"/>
        </w:rPr>
        <w:t>Flowchart………………………………………………………………10</w:t>
      </w: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D93D95" w:rsidRPr="0011316D" w:rsidRDefault="00D93D95" w:rsidP="00A9043C">
      <w:pPr>
        <w:jc w:val="both"/>
        <w:rPr>
          <w:rFonts w:ascii="Arial" w:hAnsi="Arial" w:cs="Arial"/>
          <w:b/>
          <w:sz w:val="32"/>
          <w:szCs w:val="32"/>
        </w:rPr>
      </w:pPr>
      <w:r w:rsidRPr="0011316D">
        <w:rPr>
          <w:rFonts w:ascii="Arial" w:hAnsi="Arial" w:cs="Arial"/>
          <w:b/>
          <w:sz w:val="32"/>
          <w:szCs w:val="32"/>
        </w:rPr>
        <w:lastRenderedPageBreak/>
        <w:t>Introduction and Background</w:t>
      </w:r>
    </w:p>
    <w:p w:rsidR="00D93D95" w:rsidRPr="0011316D" w:rsidRDefault="00D93D95" w:rsidP="00A9043C">
      <w:pPr>
        <w:jc w:val="both"/>
        <w:rPr>
          <w:rFonts w:ascii="Arial" w:hAnsi="Arial" w:cs="Arial"/>
          <w:b/>
        </w:rPr>
      </w:pPr>
    </w:p>
    <w:p w:rsidR="00D93D95" w:rsidRPr="0011316D" w:rsidRDefault="00D93D95" w:rsidP="00A9043C">
      <w:pPr>
        <w:jc w:val="both"/>
        <w:rPr>
          <w:rFonts w:ascii="Arial" w:hAnsi="Arial" w:cs="Arial"/>
        </w:rPr>
      </w:pPr>
      <w:r w:rsidRPr="0011316D">
        <w:rPr>
          <w:rFonts w:ascii="Arial" w:hAnsi="Arial" w:cs="Arial"/>
        </w:rPr>
        <w:t xml:space="preserve">The threat from violent extremism in </w:t>
      </w:r>
      <w:r w:rsidR="00D64811">
        <w:rPr>
          <w:rFonts w:ascii="Arial" w:hAnsi="Arial" w:cs="Arial"/>
        </w:rPr>
        <w:t xml:space="preserve">this country is real and severe.  It </w:t>
      </w:r>
      <w:r w:rsidRPr="0011316D">
        <w:rPr>
          <w:rFonts w:ascii="Arial" w:hAnsi="Arial" w:cs="Arial"/>
        </w:rPr>
        <w:t>can involve the e</w:t>
      </w:r>
      <w:r w:rsidR="003829BE">
        <w:rPr>
          <w:rFonts w:ascii="Arial" w:hAnsi="Arial" w:cs="Arial"/>
        </w:rPr>
        <w:t>xploitation of vulnerable people</w:t>
      </w:r>
      <w:r w:rsidR="00D64811">
        <w:rPr>
          <w:rFonts w:ascii="Arial" w:hAnsi="Arial" w:cs="Arial"/>
        </w:rPr>
        <w:t xml:space="preserve">, with the aim of drawing </w:t>
      </w:r>
      <w:r w:rsidRPr="0011316D">
        <w:rPr>
          <w:rFonts w:ascii="Arial" w:hAnsi="Arial" w:cs="Arial"/>
        </w:rPr>
        <w:t>them</w:t>
      </w:r>
      <w:r w:rsidR="00A0202C" w:rsidRPr="0011316D">
        <w:rPr>
          <w:rFonts w:ascii="Arial" w:hAnsi="Arial" w:cs="Arial"/>
        </w:rPr>
        <w:t xml:space="preserve"> in</w:t>
      </w:r>
      <w:r w:rsidR="00D64811">
        <w:rPr>
          <w:rFonts w:ascii="Arial" w:hAnsi="Arial" w:cs="Arial"/>
        </w:rPr>
        <w:t>to committing</w:t>
      </w:r>
      <w:r w:rsidRPr="0011316D">
        <w:rPr>
          <w:rFonts w:ascii="Arial" w:hAnsi="Arial" w:cs="Arial"/>
        </w:rPr>
        <w:t xml:space="preserve"> criminal acts of violence and terrorism.</w:t>
      </w:r>
      <w:r w:rsidR="00126AB8" w:rsidRPr="0011316D">
        <w:rPr>
          <w:rFonts w:ascii="Arial" w:hAnsi="Arial" w:cs="Arial"/>
        </w:rPr>
        <w:t xml:space="preserve"> </w:t>
      </w:r>
      <w:r w:rsidR="00D64811">
        <w:rPr>
          <w:rFonts w:ascii="Arial" w:hAnsi="Arial" w:cs="Arial"/>
        </w:rPr>
        <w:t xml:space="preserve"> </w:t>
      </w:r>
      <w:r w:rsidR="00126AB8" w:rsidRPr="0011316D">
        <w:rPr>
          <w:rFonts w:ascii="Arial" w:hAnsi="Arial" w:cs="Arial"/>
        </w:rPr>
        <w:t xml:space="preserve">This protocol is designed to provide a clear framework with which to respond to safeguarding concerns for those </w:t>
      </w:r>
      <w:r w:rsidR="00A0202C" w:rsidRPr="0011316D">
        <w:rPr>
          <w:rFonts w:ascii="Arial" w:hAnsi="Arial" w:cs="Arial"/>
        </w:rPr>
        <w:t xml:space="preserve">vulnerable </w:t>
      </w:r>
      <w:r w:rsidR="00126AB8" w:rsidRPr="0011316D">
        <w:rPr>
          <w:rFonts w:ascii="Arial" w:hAnsi="Arial" w:cs="Arial"/>
        </w:rPr>
        <w:t xml:space="preserve">individuals who may be </w:t>
      </w:r>
      <w:r w:rsidR="00A0202C" w:rsidRPr="0011316D">
        <w:rPr>
          <w:rFonts w:ascii="Arial" w:hAnsi="Arial" w:cs="Arial"/>
        </w:rPr>
        <w:t xml:space="preserve">at risk of </w:t>
      </w:r>
      <w:r w:rsidR="00A9043C">
        <w:rPr>
          <w:rFonts w:ascii="Arial" w:hAnsi="Arial" w:cs="Arial"/>
        </w:rPr>
        <w:t xml:space="preserve">radicalisation.  </w:t>
      </w:r>
      <w:r w:rsidR="00A0202C" w:rsidRPr="0011316D">
        <w:rPr>
          <w:rFonts w:ascii="Arial" w:hAnsi="Arial" w:cs="Arial"/>
        </w:rPr>
        <w:t>It seeks to provide an early intervention</w:t>
      </w:r>
      <w:r w:rsidR="00A9043C">
        <w:rPr>
          <w:rFonts w:ascii="Arial" w:hAnsi="Arial" w:cs="Arial"/>
        </w:rPr>
        <w:t xml:space="preserve"> </w:t>
      </w:r>
      <w:r w:rsidR="00A0202C" w:rsidRPr="0011316D">
        <w:rPr>
          <w:rFonts w:ascii="Arial" w:hAnsi="Arial" w:cs="Arial"/>
        </w:rPr>
        <w:t>/</w:t>
      </w:r>
      <w:r w:rsidR="00A9043C">
        <w:rPr>
          <w:rFonts w:ascii="Arial" w:hAnsi="Arial" w:cs="Arial"/>
        </w:rPr>
        <w:t xml:space="preserve"> </w:t>
      </w:r>
      <w:r w:rsidR="00A0202C" w:rsidRPr="0011316D">
        <w:rPr>
          <w:rFonts w:ascii="Arial" w:hAnsi="Arial" w:cs="Arial"/>
        </w:rPr>
        <w:t>prevention strategy for professionals who work with those who may be vulnerable to the messages of violent extremism.</w:t>
      </w:r>
    </w:p>
    <w:p w:rsidR="00A0202C" w:rsidRPr="0011316D" w:rsidRDefault="00A0202C" w:rsidP="00A9043C">
      <w:pPr>
        <w:jc w:val="both"/>
        <w:rPr>
          <w:rFonts w:ascii="Arial" w:hAnsi="Arial" w:cs="Arial"/>
        </w:rPr>
      </w:pPr>
    </w:p>
    <w:p w:rsidR="00A0202C" w:rsidRPr="0011316D" w:rsidRDefault="00A0202C" w:rsidP="00A9043C">
      <w:pPr>
        <w:jc w:val="both"/>
        <w:rPr>
          <w:rFonts w:ascii="Arial" w:hAnsi="Arial" w:cs="Arial"/>
        </w:rPr>
      </w:pPr>
      <w:r w:rsidRPr="0011316D">
        <w:rPr>
          <w:rFonts w:ascii="Arial" w:hAnsi="Arial" w:cs="Arial"/>
        </w:rPr>
        <w:t>The London bombings on 7</w:t>
      </w:r>
      <w:r w:rsidRPr="0011316D">
        <w:rPr>
          <w:rFonts w:ascii="Arial" w:hAnsi="Arial" w:cs="Arial"/>
          <w:vertAlign w:val="superscript"/>
        </w:rPr>
        <w:t>th</w:t>
      </w:r>
      <w:r w:rsidRPr="0011316D">
        <w:rPr>
          <w:rFonts w:ascii="Arial" w:hAnsi="Arial" w:cs="Arial"/>
        </w:rPr>
        <w:t xml:space="preserve"> July 2</w:t>
      </w:r>
      <w:r w:rsidR="003C5A2C" w:rsidRPr="0011316D">
        <w:rPr>
          <w:rFonts w:ascii="Arial" w:hAnsi="Arial" w:cs="Arial"/>
        </w:rPr>
        <w:t>005 precipitated the introduction</w:t>
      </w:r>
      <w:r w:rsidRPr="0011316D">
        <w:rPr>
          <w:rFonts w:ascii="Arial" w:hAnsi="Arial" w:cs="Arial"/>
        </w:rPr>
        <w:t xml:space="preserve"> of the Government’s strategy to counter terrorism</w:t>
      </w:r>
      <w:r w:rsidR="00A9043C">
        <w:rPr>
          <w:rFonts w:ascii="Arial" w:hAnsi="Arial" w:cs="Arial"/>
        </w:rPr>
        <w:t>,</w:t>
      </w:r>
      <w:r w:rsidRPr="0011316D">
        <w:rPr>
          <w:rFonts w:ascii="Arial" w:hAnsi="Arial" w:cs="Arial"/>
        </w:rPr>
        <w:t xml:space="preserve"> which was presented to Parliament in July 2006.</w:t>
      </w:r>
      <w:r w:rsidRPr="0011316D">
        <w:rPr>
          <w:rStyle w:val="FootnoteReference"/>
          <w:rFonts w:ascii="Arial" w:hAnsi="Arial" w:cs="Arial"/>
        </w:rPr>
        <w:footnoteReference w:id="1"/>
      </w:r>
      <w:r w:rsidR="003C5A2C" w:rsidRPr="0011316D">
        <w:rPr>
          <w:rFonts w:ascii="Arial" w:hAnsi="Arial" w:cs="Arial"/>
        </w:rPr>
        <w:t>.</w:t>
      </w:r>
      <w:r w:rsidR="002622AA" w:rsidRPr="0011316D">
        <w:rPr>
          <w:rFonts w:ascii="Arial" w:hAnsi="Arial" w:cs="Arial"/>
        </w:rPr>
        <w:t xml:space="preserve"> The strategy, known as ‘Contest’ provided </w:t>
      </w:r>
      <w:r w:rsidR="003C5A2C" w:rsidRPr="0011316D">
        <w:rPr>
          <w:rFonts w:ascii="Arial" w:hAnsi="Arial" w:cs="Arial"/>
        </w:rPr>
        <w:t>four main work</w:t>
      </w:r>
      <w:r w:rsidR="00A9043C">
        <w:rPr>
          <w:rFonts w:ascii="Arial" w:hAnsi="Arial" w:cs="Arial"/>
        </w:rPr>
        <w:t>-</w:t>
      </w:r>
      <w:r w:rsidR="003C5A2C" w:rsidRPr="0011316D">
        <w:rPr>
          <w:rFonts w:ascii="Arial" w:hAnsi="Arial" w:cs="Arial"/>
        </w:rPr>
        <w:t>streams</w:t>
      </w:r>
      <w:r w:rsidR="002622AA" w:rsidRPr="0011316D">
        <w:rPr>
          <w:rFonts w:ascii="Arial" w:hAnsi="Arial" w:cs="Arial"/>
        </w:rPr>
        <w:t>:</w:t>
      </w:r>
    </w:p>
    <w:p w:rsidR="00265985" w:rsidRPr="0011316D" w:rsidRDefault="00265985" w:rsidP="00A9043C">
      <w:pPr>
        <w:jc w:val="both"/>
        <w:rPr>
          <w:rFonts w:ascii="Arial" w:hAnsi="Arial" w:cs="Arial"/>
        </w:rPr>
      </w:pPr>
    </w:p>
    <w:p w:rsidR="002622AA" w:rsidRPr="0011316D" w:rsidRDefault="003C5A2C" w:rsidP="00A9043C">
      <w:pPr>
        <w:pStyle w:val="ListParagraph"/>
        <w:numPr>
          <w:ilvl w:val="0"/>
          <w:numId w:val="2"/>
        </w:numPr>
        <w:jc w:val="both"/>
        <w:rPr>
          <w:rFonts w:ascii="Arial" w:hAnsi="Arial" w:cs="Arial"/>
        </w:rPr>
      </w:pPr>
      <w:r w:rsidRPr="0011316D">
        <w:rPr>
          <w:rFonts w:ascii="Arial" w:hAnsi="Arial" w:cs="Arial"/>
          <w:b/>
        </w:rPr>
        <w:t>Pursue</w:t>
      </w:r>
      <w:r w:rsidR="002622AA" w:rsidRPr="0011316D">
        <w:rPr>
          <w:rFonts w:ascii="Arial" w:hAnsi="Arial" w:cs="Arial"/>
        </w:rPr>
        <w:t xml:space="preserve"> terrorists and their operations at home and abroad</w:t>
      </w:r>
    </w:p>
    <w:p w:rsidR="003C5A2C" w:rsidRPr="0011316D" w:rsidRDefault="003C5A2C" w:rsidP="00A9043C">
      <w:pPr>
        <w:pStyle w:val="ListParagraph"/>
        <w:numPr>
          <w:ilvl w:val="0"/>
          <w:numId w:val="2"/>
        </w:numPr>
        <w:jc w:val="both"/>
        <w:rPr>
          <w:rFonts w:ascii="Arial" w:hAnsi="Arial" w:cs="Arial"/>
        </w:rPr>
      </w:pPr>
      <w:r w:rsidRPr="0011316D">
        <w:rPr>
          <w:rFonts w:ascii="Arial" w:hAnsi="Arial" w:cs="Arial"/>
          <w:b/>
        </w:rPr>
        <w:t>Prepare</w:t>
      </w:r>
      <w:r w:rsidRPr="0011316D">
        <w:rPr>
          <w:rFonts w:ascii="Arial" w:hAnsi="Arial" w:cs="Arial"/>
        </w:rPr>
        <w:t xml:space="preserve"> for the consequences and improve resilience</w:t>
      </w:r>
    </w:p>
    <w:p w:rsidR="003C5A2C" w:rsidRPr="0011316D" w:rsidRDefault="003C5A2C" w:rsidP="00A9043C">
      <w:pPr>
        <w:pStyle w:val="ListParagraph"/>
        <w:numPr>
          <w:ilvl w:val="0"/>
          <w:numId w:val="2"/>
        </w:numPr>
        <w:jc w:val="both"/>
        <w:rPr>
          <w:rFonts w:ascii="Arial" w:hAnsi="Arial" w:cs="Arial"/>
        </w:rPr>
      </w:pPr>
      <w:r w:rsidRPr="0011316D">
        <w:rPr>
          <w:rFonts w:ascii="Arial" w:hAnsi="Arial" w:cs="Arial"/>
          <w:b/>
        </w:rPr>
        <w:t>Protect</w:t>
      </w:r>
      <w:r w:rsidRPr="0011316D">
        <w:rPr>
          <w:rFonts w:ascii="Arial" w:hAnsi="Arial" w:cs="Arial"/>
        </w:rPr>
        <w:t xml:space="preserve"> – reduce vulnerability of the public and UK interests</w:t>
      </w:r>
    </w:p>
    <w:p w:rsidR="003C5A2C" w:rsidRPr="0011316D" w:rsidRDefault="003C5A2C" w:rsidP="00A9043C">
      <w:pPr>
        <w:pStyle w:val="ListParagraph"/>
        <w:numPr>
          <w:ilvl w:val="0"/>
          <w:numId w:val="2"/>
        </w:numPr>
        <w:jc w:val="both"/>
        <w:rPr>
          <w:rFonts w:ascii="Arial" w:hAnsi="Arial" w:cs="Arial"/>
        </w:rPr>
      </w:pPr>
      <w:r w:rsidRPr="0011316D">
        <w:rPr>
          <w:rFonts w:ascii="Arial" w:hAnsi="Arial" w:cs="Arial"/>
          <w:b/>
        </w:rPr>
        <w:t>Prevent</w:t>
      </w:r>
      <w:r w:rsidRPr="0011316D">
        <w:rPr>
          <w:rFonts w:ascii="Arial" w:hAnsi="Arial" w:cs="Arial"/>
        </w:rPr>
        <w:t xml:space="preserve"> </w:t>
      </w:r>
      <w:r w:rsidR="00522F4A" w:rsidRPr="0011316D">
        <w:rPr>
          <w:rFonts w:ascii="Arial" w:hAnsi="Arial" w:cs="Arial"/>
        </w:rPr>
        <w:t xml:space="preserve">to stop people becoming terrorists or supporting terrorism </w:t>
      </w:r>
      <w:r w:rsidRPr="0011316D">
        <w:rPr>
          <w:rFonts w:ascii="Arial" w:hAnsi="Arial" w:cs="Arial"/>
        </w:rPr>
        <w:t>by tackling radicali</w:t>
      </w:r>
      <w:r w:rsidR="00A9043C">
        <w:rPr>
          <w:rFonts w:ascii="Arial" w:hAnsi="Arial" w:cs="Arial"/>
        </w:rPr>
        <w:t>sation and its underlying cause</w:t>
      </w:r>
    </w:p>
    <w:p w:rsidR="00265985" w:rsidRPr="0011316D" w:rsidRDefault="00265985" w:rsidP="00A9043C">
      <w:pPr>
        <w:jc w:val="both"/>
        <w:rPr>
          <w:rFonts w:ascii="Arial" w:hAnsi="Arial" w:cs="Arial"/>
        </w:rPr>
      </w:pPr>
    </w:p>
    <w:p w:rsidR="002648B1" w:rsidRPr="0011316D" w:rsidRDefault="003C5A2C" w:rsidP="00A9043C">
      <w:pPr>
        <w:jc w:val="both"/>
        <w:rPr>
          <w:rFonts w:ascii="Arial" w:hAnsi="Arial" w:cs="Arial"/>
        </w:rPr>
      </w:pPr>
      <w:r w:rsidRPr="0011316D">
        <w:rPr>
          <w:rFonts w:ascii="Arial" w:hAnsi="Arial" w:cs="Arial"/>
        </w:rPr>
        <w:t xml:space="preserve">In June 2008 the Government published, </w:t>
      </w:r>
      <w:r w:rsidR="002648B1" w:rsidRPr="0011316D">
        <w:rPr>
          <w:rFonts w:ascii="Arial" w:hAnsi="Arial" w:cs="Arial"/>
        </w:rPr>
        <w:t>“</w:t>
      </w:r>
      <w:r w:rsidRPr="0011316D">
        <w:rPr>
          <w:rFonts w:ascii="Arial" w:hAnsi="Arial" w:cs="Arial"/>
        </w:rPr>
        <w:t>The Prevent Strategy: A Guide for Local Partners in England</w:t>
      </w:r>
      <w:r w:rsidR="002648B1" w:rsidRPr="0011316D">
        <w:rPr>
          <w:rFonts w:ascii="Arial" w:hAnsi="Arial" w:cs="Arial"/>
        </w:rPr>
        <w:t>”</w:t>
      </w:r>
      <w:r w:rsidRPr="0011316D">
        <w:rPr>
          <w:rFonts w:ascii="Arial" w:hAnsi="Arial" w:cs="Arial"/>
        </w:rPr>
        <w:t xml:space="preserve"> which explained the background to</w:t>
      </w:r>
      <w:r w:rsidR="00AA3045">
        <w:rPr>
          <w:rFonts w:ascii="Arial" w:hAnsi="Arial" w:cs="Arial"/>
        </w:rPr>
        <w:t>,</w:t>
      </w:r>
      <w:r w:rsidRPr="0011316D">
        <w:rPr>
          <w:rFonts w:ascii="Arial" w:hAnsi="Arial" w:cs="Arial"/>
        </w:rPr>
        <w:t xml:space="preserve"> and content of</w:t>
      </w:r>
      <w:r w:rsidR="00AA3045">
        <w:rPr>
          <w:rFonts w:ascii="Arial" w:hAnsi="Arial" w:cs="Arial"/>
        </w:rPr>
        <w:t>,</w:t>
      </w:r>
      <w:r w:rsidR="00AD692A" w:rsidRPr="0011316D">
        <w:rPr>
          <w:rFonts w:ascii="Arial" w:hAnsi="Arial" w:cs="Arial"/>
        </w:rPr>
        <w:t xml:space="preserve"> the</w:t>
      </w:r>
      <w:r w:rsidRPr="0011316D">
        <w:rPr>
          <w:rFonts w:ascii="Arial" w:hAnsi="Arial" w:cs="Arial"/>
        </w:rPr>
        <w:t xml:space="preserve"> </w:t>
      </w:r>
      <w:r w:rsidRPr="0011316D">
        <w:rPr>
          <w:rFonts w:ascii="Arial" w:hAnsi="Arial" w:cs="Arial"/>
          <w:i/>
        </w:rPr>
        <w:t>Prevent</w:t>
      </w:r>
      <w:r w:rsidRPr="0011316D">
        <w:rPr>
          <w:rFonts w:ascii="Arial" w:hAnsi="Arial" w:cs="Arial"/>
        </w:rPr>
        <w:t xml:space="preserve"> strategy</w:t>
      </w:r>
      <w:r w:rsidR="00AA3045">
        <w:rPr>
          <w:rFonts w:ascii="Arial" w:hAnsi="Arial" w:cs="Arial"/>
        </w:rPr>
        <w:t>,</w:t>
      </w:r>
      <w:r w:rsidR="002648B1" w:rsidRPr="0011316D">
        <w:rPr>
          <w:rFonts w:ascii="Arial" w:hAnsi="Arial" w:cs="Arial"/>
        </w:rPr>
        <w:t xml:space="preserve"> developed from the fourth work</w:t>
      </w:r>
      <w:r w:rsidR="00AA3045">
        <w:rPr>
          <w:rFonts w:ascii="Arial" w:hAnsi="Arial" w:cs="Arial"/>
        </w:rPr>
        <w:t>-</w:t>
      </w:r>
      <w:r w:rsidR="002648B1" w:rsidRPr="0011316D">
        <w:rPr>
          <w:rFonts w:ascii="Arial" w:hAnsi="Arial" w:cs="Arial"/>
        </w:rPr>
        <w:t>stream of ‘Contest’</w:t>
      </w:r>
      <w:r w:rsidR="00514FBD" w:rsidRPr="0011316D">
        <w:rPr>
          <w:rFonts w:ascii="Arial" w:hAnsi="Arial" w:cs="Arial"/>
        </w:rPr>
        <w:t>. It also provided</w:t>
      </w:r>
      <w:r w:rsidR="000C1C98" w:rsidRPr="0011316D">
        <w:rPr>
          <w:rFonts w:ascii="Arial" w:hAnsi="Arial" w:cs="Arial"/>
        </w:rPr>
        <w:t xml:space="preserve"> </w:t>
      </w:r>
      <w:r w:rsidR="00514FBD" w:rsidRPr="0011316D">
        <w:rPr>
          <w:rFonts w:ascii="Arial" w:hAnsi="Arial" w:cs="Arial"/>
        </w:rPr>
        <w:t>guidance</w:t>
      </w:r>
      <w:r w:rsidRPr="0011316D">
        <w:rPr>
          <w:rFonts w:ascii="Arial" w:hAnsi="Arial" w:cs="Arial"/>
        </w:rPr>
        <w:t xml:space="preserve"> on </w:t>
      </w:r>
      <w:r w:rsidR="002648B1" w:rsidRPr="0011316D">
        <w:rPr>
          <w:rFonts w:ascii="Arial" w:hAnsi="Arial" w:cs="Arial"/>
        </w:rPr>
        <w:t xml:space="preserve">the </w:t>
      </w:r>
      <w:r w:rsidRPr="0011316D">
        <w:rPr>
          <w:rFonts w:ascii="Arial" w:hAnsi="Arial" w:cs="Arial"/>
        </w:rPr>
        <w:t>local delivery</w:t>
      </w:r>
      <w:r w:rsidR="002648B1" w:rsidRPr="0011316D">
        <w:rPr>
          <w:rFonts w:ascii="Arial" w:hAnsi="Arial" w:cs="Arial"/>
        </w:rPr>
        <w:t xml:space="preserve"> of the strategy.</w:t>
      </w:r>
    </w:p>
    <w:p w:rsidR="002648B1" w:rsidRPr="0011316D" w:rsidRDefault="002648B1" w:rsidP="00A9043C">
      <w:pPr>
        <w:jc w:val="both"/>
        <w:rPr>
          <w:rFonts w:ascii="Arial" w:hAnsi="Arial" w:cs="Arial"/>
        </w:rPr>
      </w:pPr>
    </w:p>
    <w:p w:rsidR="002648B1" w:rsidRPr="0011316D" w:rsidRDefault="002648B1" w:rsidP="00A9043C">
      <w:pPr>
        <w:jc w:val="both"/>
        <w:rPr>
          <w:rFonts w:ascii="Arial" w:hAnsi="Arial" w:cs="Arial"/>
        </w:rPr>
      </w:pPr>
      <w:r w:rsidRPr="0011316D">
        <w:rPr>
          <w:rFonts w:ascii="Arial" w:hAnsi="Arial" w:cs="Arial"/>
        </w:rPr>
        <w:t xml:space="preserve">With the aim of improving local delivery of the </w:t>
      </w:r>
      <w:r w:rsidRPr="0011316D">
        <w:rPr>
          <w:rFonts w:ascii="Arial" w:hAnsi="Arial" w:cs="Arial"/>
          <w:i/>
        </w:rPr>
        <w:t>Prevent</w:t>
      </w:r>
      <w:r w:rsidRPr="0011316D">
        <w:rPr>
          <w:rFonts w:ascii="Arial" w:hAnsi="Arial" w:cs="Arial"/>
        </w:rPr>
        <w:t xml:space="preserve"> initiative</w:t>
      </w:r>
      <w:r w:rsidR="00AA3045">
        <w:rPr>
          <w:rFonts w:ascii="Arial" w:hAnsi="Arial" w:cs="Arial"/>
        </w:rPr>
        <w:t>,</w:t>
      </w:r>
      <w:r w:rsidRPr="0011316D">
        <w:rPr>
          <w:rFonts w:ascii="Arial" w:hAnsi="Arial" w:cs="Arial"/>
        </w:rPr>
        <w:t xml:space="preserve"> an update</w:t>
      </w:r>
      <w:r w:rsidR="00AA3045">
        <w:rPr>
          <w:rFonts w:ascii="Arial" w:hAnsi="Arial" w:cs="Arial"/>
        </w:rPr>
        <w:t xml:space="preserve">d version of </w:t>
      </w:r>
      <w:r w:rsidRPr="0011316D">
        <w:rPr>
          <w:rFonts w:ascii="Arial" w:hAnsi="Arial" w:cs="Arial"/>
        </w:rPr>
        <w:t>the original document was published in June 2009</w:t>
      </w:r>
      <w:r w:rsidR="00AA3045">
        <w:rPr>
          <w:rFonts w:ascii="Arial" w:hAnsi="Arial" w:cs="Arial"/>
        </w:rPr>
        <w:t>,</w:t>
      </w:r>
      <w:r w:rsidRPr="0011316D">
        <w:rPr>
          <w:rFonts w:ascii="Arial" w:hAnsi="Arial" w:cs="Arial"/>
        </w:rPr>
        <w:t xml:space="preserve"> in which lessons learned and emerging best practice had been taken into conside</w:t>
      </w:r>
      <w:r w:rsidR="00AA3045">
        <w:rPr>
          <w:rFonts w:ascii="Arial" w:hAnsi="Arial" w:cs="Arial"/>
        </w:rPr>
        <w:t xml:space="preserve">ration. In turn, this document </w:t>
      </w:r>
      <w:r w:rsidRPr="0011316D">
        <w:rPr>
          <w:rFonts w:ascii="Arial" w:hAnsi="Arial" w:cs="Arial"/>
        </w:rPr>
        <w:t>“Delivering the Prevent Strategy: An Updated Guide for Local Partners” was further reviewed and largely replaced with the new, “</w:t>
      </w:r>
      <w:r w:rsidRPr="0011316D">
        <w:rPr>
          <w:rFonts w:ascii="Arial" w:hAnsi="Arial" w:cs="Arial"/>
          <w:i/>
        </w:rPr>
        <w:t xml:space="preserve">Prevent </w:t>
      </w:r>
      <w:r w:rsidR="00AA3045">
        <w:rPr>
          <w:rFonts w:ascii="Arial" w:hAnsi="Arial" w:cs="Arial"/>
        </w:rPr>
        <w:t xml:space="preserve">Strategy” in </w:t>
      </w:r>
      <w:r w:rsidRPr="0011316D">
        <w:rPr>
          <w:rFonts w:ascii="Arial" w:hAnsi="Arial" w:cs="Arial"/>
        </w:rPr>
        <w:t>June 2011</w:t>
      </w:r>
      <w:r w:rsidR="00AD692A" w:rsidRPr="0011316D">
        <w:rPr>
          <w:rFonts w:ascii="Arial" w:hAnsi="Arial" w:cs="Arial"/>
        </w:rPr>
        <w:t>.</w:t>
      </w:r>
    </w:p>
    <w:p w:rsidR="00265985" w:rsidRDefault="00265985" w:rsidP="00A9043C">
      <w:pPr>
        <w:jc w:val="both"/>
        <w:rPr>
          <w:rFonts w:ascii="Arial" w:hAnsi="Arial" w:cs="Arial"/>
        </w:rPr>
      </w:pPr>
    </w:p>
    <w:p w:rsidR="000E71BE" w:rsidRDefault="000E71BE" w:rsidP="00A9043C">
      <w:pPr>
        <w:jc w:val="both"/>
        <w:rPr>
          <w:rFonts w:ascii="Arial" w:hAnsi="Arial" w:cs="Arial"/>
        </w:rPr>
      </w:pPr>
    </w:p>
    <w:p w:rsidR="00AD692A" w:rsidRDefault="00AD692A" w:rsidP="00A9043C">
      <w:pPr>
        <w:jc w:val="both"/>
        <w:rPr>
          <w:rFonts w:ascii="Arial" w:hAnsi="Arial" w:cs="Arial"/>
        </w:rPr>
      </w:pPr>
      <w:r w:rsidRPr="0011316D">
        <w:rPr>
          <w:rFonts w:ascii="Arial" w:hAnsi="Arial" w:cs="Arial"/>
        </w:rPr>
        <w:t xml:space="preserve">The </w:t>
      </w:r>
      <w:r w:rsidRPr="0011316D">
        <w:rPr>
          <w:rFonts w:ascii="Arial" w:hAnsi="Arial" w:cs="Arial"/>
          <w:i/>
        </w:rPr>
        <w:t>Prevent</w:t>
      </w:r>
      <w:r w:rsidR="00122B0C" w:rsidRPr="0011316D">
        <w:rPr>
          <w:rFonts w:ascii="Arial" w:hAnsi="Arial" w:cs="Arial"/>
        </w:rPr>
        <w:t xml:space="preserve"> s</w:t>
      </w:r>
      <w:r w:rsidRPr="0011316D">
        <w:rPr>
          <w:rFonts w:ascii="Arial" w:hAnsi="Arial" w:cs="Arial"/>
        </w:rPr>
        <w:t xml:space="preserve">trategy </w:t>
      </w:r>
      <w:r w:rsidR="000E71BE">
        <w:rPr>
          <w:rFonts w:ascii="Arial" w:hAnsi="Arial" w:cs="Arial"/>
        </w:rPr>
        <w:t>objectives are:</w:t>
      </w:r>
    </w:p>
    <w:p w:rsidR="000E71BE" w:rsidRDefault="000E71BE" w:rsidP="00A9043C">
      <w:pPr>
        <w:jc w:val="both"/>
        <w:rPr>
          <w:rFonts w:ascii="Arial" w:hAnsi="Arial" w:cs="Arial"/>
        </w:rPr>
      </w:pPr>
    </w:p>
    <w:p w:rsidR="000E71BE" w:rsidRDefault="000E71BE" w:rsidP="00A9043C">
      <w:pPr>
        <w:jc w:val="both"/>
        <w:rPr>
          <w:rFonts w:ascii="Arial" w:hAnsi="Arial" w:cs="Arial"/>
        </w:rPr>
      </w:pPr>
      <w:r w:rsidRPr="000E71BE">
        <w:rPr>
          <w:rFonts w:ascii="Arial" w:hAnsi="Arial" w:cs="Arial"/>
          <w:b/>
          <w:bCs/>
        </w:rPr>
        <w:t xml:space="preserve">Identify: </w:t>
      </w:r>
      <w:r w:rsidRPr="000E71BE">
        <w:rPr>
          <w:rFonts w:ascii="Arial" w:hAnsi="Arial" w:cs="Arial"/>
        </w:rPr>
        <w:t>We will work in partnership to better identify and refer those vulnerable to being drawn into terrorism and those who pose a radicalisation risk to others. We will work with communities, local policing, C</w:t>
      </w:r>
      <w:r>
        <w:rPr>
          <w:rFonts w:ascii="Arial" w:hAnsi="Arial" w:cs="Arial"/>
        </w:rPr>
        <w:t xml:space="preserve">ounter </w:t>
      </w:r>
      <w:r w:rsidRPr="000E71BE">
        <w:rPr>
          <w:rFonts w:ascii="Arial" w:hAnsi="Arial" w:cs="Arial"/>
        </w:rPr>
        <w:t>T</w:t>
      </w:r>
      <w:r>
        <w:rPr>
          <w:rFonts w:ascii="Arial" w:hAnsi="Arial" w:cs="Arial"/>
        </w:rPr>
        <w:t>errorism</w:t>
      </w:r>
      <w:r w:rsidRPr="000E71BE">
        <w:rPr>
          <w:rFonts w:ascii="Arial" w:hAnsi="Arial" w:cs="Arial"/>
        </w:rPr>
        <w:t xml:space="preserve"> policing, public sector, businesses and charities.</w:t>
      </w:r>
    </w:p>
    <w:p w:rsidR="000E71BE" w:rsidRDefault="000E71BE" w:rsidP="00A9043C">
      <w:pPr>
        <w:jc w:val="both"/>
        <w:rPr>
          <w:rFonts w:ascii="Arial" w:hAnsi="Arial" w:cs="Arial"/>
        </w:rPr>
      </w:pPr>
    </w:p>
    <w:p w:rsidR="000E71BE" w:rsidRDefault="000E71BE" w:rsidP="00A9043C">
      <w:pPr>
        <w:jc w:val="both"/>
        <w:rPr>
          <w:rFonts w:ascii="Arial" w:hAnsi="Arial" w:cs="Arial"/>
        </w:rPr>
      </w:pPr>
      <w:r w:rsidRPr="000E71BE">
        <w:rPr>
          <w:rFonts w:ascii="Arial" w:hAnsi="Arial" w:cs="Arial"/>
          <w:b/>
          <w:bCs/>
        </w:rPr>
        <w:t>Safeguard</w:t>
      </w:r>
      <w:r w:rsidRPr="000E71BE">
        <w:rPr>
          <w:rFonts w:ascii="Arial" w:hAnsi="Arial" w:cs="Arial"/>
        </w:rPr>
        <w:t>: We will work collaboratively across policing and wider partnerships to safeguard people and divert those vulnerable to radicalisation or being drawn into terrorism.</w:t>
      </w:r>
    </w:p>
    <w:p w:rsidR="000E71BE" w:rsidRDefault="000E71BE" w:rsidP="00A9043C">
      <w:pPr>
        <w:jc w:val="both"/>
        <w:rPr>
          <w:rFonts w:ascii="Arial" w:hAnsi="Arial" w:cs="Arial"/>
        </w:rPr>
      </w:pPr>
    </w:p>
    <w:p w:rsidR="000E71BE" w:rsidRPr="000E71BE" w:rsidRDefault="000E71BE" w:rsidP="00A9043C">
      <w:pPr>
        <w:jc w:val="both"/>
        <w:rPr>
          <w:rFonts w:ascii="Arial" w:hAnsi="Arial" w:cs="Arial"/>
        </w:rPr>
      </w:pPr>
      <w:r w:rsidRPr="000E71BE">
        <w:rPr>
          <w:rFonts w:ascii="Arial" w:hAnsi="Arial" w:cs="Arial"/>
          <w:b/>
          <w:bCs/>
        </w:rPr>
        <w:t>Manage Risk</w:t>
      </w:r>
      <w:r w:rsidRPr="000E71BE">
        <w:rPr>
          <w:rFonts w:ascii="Arial" w:hAnsi="Arial" w:cs="Arial"/>
        </w:rPr>
        <w:t>: We will work in partnership using our unique skills and powers to assess, manage, support and disrupt individuals who pose a C</w:t>
      </w:r>
      <w:r>
        <w:rPr>
          <w:rFonts w:ascii="Arial" w:hAnsi="Arial" w:cs="Arial"/>
        </w:rPr>
        <w:t xml:space="preserve">ounter </w:t>
      </w:r>
      <w:r w:rsidRPr="000E71BE">
        <w:rPr>
          <w:rFonts w:ascii="Arial" w:hAnsi="Arial" w:cs="Arial"/>
        </w:rPr>
        <w:t>T</w:t>
      </w:r>
      <w:r>
        <w:rPr>
          <w:rFonts w:ascii="Arial" w:hAnsi="Arial" w:cs="Arial"/>
        </w:rPr>
        <w:t>errorism</w:t>
      </w:r>
      <w:r w:rsidRPr="000E71BE">
        <w:rPr>
          <w:rFonts w:ascii="Arial" w:hAnsi="Arial" w:cs="Arial"/>
        </w:rPr>
        <w:t xml:space="preserve"> or extremism risk.</w:t>
      </w:r>
    </w:p>
    <w:p w:rsidR="00AD692A" w:rsidRPr="0011316D" w:rsidRDefault="00AD692A" w:rsidP="00A9043C">
      <w:pPr>
        <w:jc w:val="both"/>
        <w:rPr>
          <w:rFonts w:ascii="Arial" w:hAnsi="Arial" w:cs="Arial"/>
        </w:rPr>
      </w:pPr>
    </w:p>
    <w:p w:rsidR="00560774" w:rsidRPr="0011316D" w:rsidRDefault="00265985" w:rsidP="00481897">
      <w:pPr>
        <w:spacing w:line="276" w:lineRule="auto"/>
        <w:rPr>
          <w:rFonts w:ascii="Arial" w:hAnsi="Arial" w:cs="Arial"/>
          <w:b/>
          <w:sz w:val="32"/>
          <w:szCs w:val="32"/>
        </w:rPr>
      </w:pPr>
      <w:r>
        <w:rPr>
          <w:rFonts w:ascii="Arial" w:hAnsi="Arial" w:cs="Arial"/>
        </w:rPr>
        <w:br w:type="page"/>
      </w:r>
      <w:r w:rsidR="00560774" w:rsidRPr="0011316D">
        <w:rPr>
          <w:rFonts w:ascii="Arial" w:hAnsi="Arial" w:cs="Arial"/>
          <w:b/>
          <w:sz w:val="32"/>
          <w:szCs w:val="32"/>
        </w:rPr>
        <w:lastRenderedPageBreak/>
        <w:t>Definitions</w:t>
      </w:r>
    </w:p>
    <w:p w:rsidR="00560774" w:rsidRPr="0011316D" w:rsidRDefault="00560774" w:rsidP="00A9043C">
      <w:pPr>
        <w:jc w:val="both"/>
        <w:rPr>
          <w:rFonts w:ascii="Arial" w:hAnsi="Arial" w:cs="Arial"/>
          <w:b/>
        </w:rPr>
      </w:pPr>
    </w:p>
    <w:p w:rsidR="00560774" w:rsidRPr="0011316D" w:rsidRDefault="00560774" w:rsidP="00A9043C">
      <w:pPr>
        <w:jc w:val="both"/>
        <w:rPr>
          <w:rFonts w:ascii="Arial" w:hAnsi="Arial" w:cs="Arial"/>
        </w:rPr>
      </w:pPr>
      <w:r w:rsidRPr="0011316D">
        <w:rPr>
          <w:rFonts w:ascii="Arial" w:hAnsi="Arial" w:cs="Arial"/>
        </w:rPr>
        <w:t>“</w:t>
      </w:r>
      <w:r w:rsidRPr="0011316D">
        <w:rPr>
          <w:rFonts w:ascii="Arial" w:hAnsi="Arial" w:cs="Arial"/>
          <w:b/>
        </w:rPr>
        <w:t>Extremism</w:t>
      </w:r>
      <w:r w:rsidRPr="0011316D">
        <w:rPr>
          <w:rFonts w:ascii="Arial" w:hAnsi="Arial" w:cs="Arial"/>
        </w:rPr>
        <w:t xml:space="preserve"> is vocal or active opposition to fundamental British values, including democracy, the rule of law, individual liberty and mutual respect and tolerance of different faiths and beliefs.  …. also includes …. calls for the death of members of our armed forces, whether in this country or overseas.”</w:t>
      </w:r>
      <w:r w:rsidRPr="0011316D">
        <w:rPr>
          <w:rStyle w:val="FootnoteReference"/>
          <w:rFonts w:ascii="Arial" w:hAnsi="Arial" w:cs="Arial"/>
        </w:rPr>
        <w:footnoteReference w:id="2"/>
      </w:r>
    </w:p>
    <w:p w:rsidR="00560774" w:rsidRPr="0011316D" w:rsidRDefault="00560774" w:rsidP="00A9043C">
      <w:pPr>
        <w:jc w:val="both"/>
        <w:rPr>
          <w:rFonts w:ascii="Arial" w:hAnsi="Arial" w:cs="Arial"/>
        </w:rPr>
      </w:pPr>
    </w:p>
    <w:p w:rsidR="00560774" w:rsidRPr="0011316D" w:rsidRDefault="00560774" w:rsidP="00A9043C">
      <w:pPr>
        <w:jc w:val="both"/>
        <w:rPr>
          <w:rFonts w:ascii="Arial" w:hAnsi="Arial" w:cs="Arial"/>
        </w:rPr>
      </w:pPr>
      <w:r w:rsidRPr="0011316D">
        <w:rPr>
          <w:rFonts w:ascii="Arial" w:hAnsi="Arial" w:cs="Arial"/>
        </w:rPr>
        <w:t>The Crown Prosecution Service defines</w:t>
      </w:r>
      <w:r w:rsidR="00414003">
        <w:rPr>
          <w:rFonts w:ascii="Arial" w:hAnsi="Arial" w:cs="Arial"/>
        </w:rPr>
        <w:t xml:space="preserve"> “violent extremism” as:</w:t>
      </w:r>
    </w:p>
    <w:p w:rsidR="00560774" w:rsidRPr="0011316D" w:rsidRDefault="00560774" w:rsidP="00A9043C">
      <w:pPr>
        <w:jc w:val="both"/>
        <w:rPr>
          <w:rFonts w:ascii="Arial" w:hAnsi="Arial" w:cs="Arial"/>
        </w:rPr>
      </w:pPr>
    </w:p>
    <w:p w:rsidR="00560774" w:rsidRPr="0011316D" w:rsidRDefault="00560774" w:rsidP="00A9043C">
      <w:pPr>
        <w:ind w:left="720"/>
        <w:jc w:val="both"/>
        <w:rPr>
          <w:rFonts w:ascii="Arial" w:hAnsi="Arial" w:cs="Arial"/>
        </w:rPr>
      </w:pPr>
      <w:r w:rsidRPr="0011316D">
        <w:rPr>
          <w:rFonts w:ascii="Arial" w:hAnsi="Arial" w:cs="Arial"/>
        </w:rPr>
        <w:t>“The demonstration of unacceptable behaviour by using any means or medium to express views which:</w:t>
      </w:r>
    </w:p>
    <w:p w:rsidR="00560774" w:rsidRPr="0011316D" w:rsidRDefault="00560774" w:rsidP="00A9043C">
      <w:pPr>
        <w:ind w:left="720"/>
        <w:jc w:val="both"/>
        <w:rPr>
          <w:rFonts w:ascii="Arial" w:hAnsi="Arial" w:cs="Arial"/>
        </w:rPr>
      </w:pPr>
    </w:p>
    <w:p w:rsidR="00560774" w:rsidRPr="0011316D" w:rsidRDefault="00560774" w:rsidP="00A9043C">
      <w:pPr>
        <w:numPr>
          <w:ilvl w:val="0"/>
          <w:numId w:val="1"/>
        </w:numPr>
        <w:jc w:val="both"/>
        <w:rPr>
          <w:rFonts w:ascii="Arial" w:hAnsi="Arial" w:cs="Arial"/>
        </w:rPr>
      </w:pPr>
      <w:r w:rsidRPr="0011316D">
        <w:rPr>
          <w:rFonts w:ascii="Arial" w:hAnsi="Arial" w:cs="Arial"/>
        </w:rPr>
        <w:t>foment, justify or glorify terrorist violence in furtherance of particular beliefs;</w:t>
      </w:r>
    </w:p>
    <w:p w:rsidR="00560774" w:rsidRPr="0011316D" w:rsidRDefault="00560774" w:rsidP="00A9043C">
      <w:pPr>
        <w:ind w:left="720"/>
        <w:jc w:val="both"/>
        <w:rPr>
          <w:rFonts w:ascii="Arial" w:hAnsi="Arial" w:cs="Arial"/>
        </w:rPr>
      </w:pPr>
    </w:p>
    <w:p w:rsidR="00560774" w:rsidRPr="0011316D" w:rsidRDefault="00560774" w:rsidP="00A9043C">
      <w:pPr>
        <w:numPr>
          <w:ilvl w:val="0"/>
          <w:numId w:val="1"/>
        </w:numPr>
        <w:jc w:val="both"/>
        <w:rPr>
          <w:rFonts w:ascii="Arial" w:hAnsi="Arial" w:cs="Arial"/>
        </w:rPr>
      </w:pPr>
      <w:r w:rsidRPr="0011316D">
        <w:rPr>
          <w:rFonts w:ascii="Arial" w:hAnsi="Arial" w:cs="Arial"/>
        </w:rPr>
        <w:t>seek to provoke others to terrorist acts;</w:t>
      </w:r>
    </w:p>
    <w:p w:rsidR="00560774" w:rsidRPr="0011316D" w:rsidRDefault="00560774" w:rsidP="00A9043C">
      <w:pPr>
        <w:jc w:val="both"/>
        <w:rPr>
          <w:rFonts w:ascii="Arial" w:hAnsi="Arial" w:cs="Arial"/>
        </w:rPr>
      </w:pPr>
    </w:p>
    <w:p w:rsidR="00560774" w:rsidRPr="0011316D" w:rsidRDefault="00560774" w:rsidP="00A9043C">
      <w:pPr>
        <w:numPr>
          <w:ilvl w:val="0"/>
          <w:numId w:val="1"/>
        </w:numPr>
        <w:jc w:val="both"/>
        <w:rPr>
          <w:rFonts w:ascii="Arial" w:hAnsi="Arial" w:cs="Arial"/>
        </w:rPr>
      </w:pPr>
      <w:r w:rsidRPr="0011316D">
        <w:rPr>
          <w:rFonts w:ascii="Arial" w:hAnsi="Arial" w:cs="Arial"/>
        </w:rPr>
        <w:t>foment other serious criminal activity or seek to provoke others to serious criminal acts; or</w:t>
      </w:r>
    </w:p>
    <w:p w:rsidR="00560774" w:rsidRPr="0011316D" w:rsidRDefault="00560774" w:rsidP="00A9043C">
      <w:pPr>
        <w:jc w:val="both"/>
        <w:rPr>
          <w:rFonts w:ascii="Arial" w:hAnsi="Arial" w:cs="Arial"/>
        </w:rPr>
      </w:pPr>
    </w:p>
    <w:p w:rsidR="00560774" w:rsidRPr="0011316D" w:rsidRDefault="00560774" w:rsidP="00A9043C">
      <w:pPr>
        <w:numPr>
          <w:ilvl w:val="0"/>
          <w:numId w:val="1"/>
        </w:numPr>
        <w:jc w:val="both"/>
        <w:rPr>
          <w:rFonts w:ascii="Arial" w:hAnsi="Arial" w:cs="Arial"/>
        </w:rPr>
      </w:pPr>
      <w:r w:rsidRPr="0011316D">
        <w:rPr>
          <w:rFonts w:ascii="Arial" w:hAnsi="Arial" w:cs="Arial"/>
        </w:rPr>
        <w:t xml:space="preserve">foster hatred which might lead to inter-community violence in the UK” </w:t>
      </w:r>
      <w:r w:rsidRPr="0011316D">
        <w:rPr>
          <w:rStyle w:val="FootnoteReference"/>
          <w:rFonts w:ascii="Arial" w:hAnsi="Arial" w:cs="Arial"/>
        </w:rPr>
        <w:footnoteReference w:id="3"/>
      </w:r>
    </w:p>
    <w:p w:rsidR="00560774" w:rsidRPr="0011316D" w:rsidRDefault="00560774" w:rsidP="00A9043C">
      <w:pPr>
        <w:jc w:val="both"/>
        <w:rPr>
          <w:rFonts w:ascii="Arial" w:hAnsi="Arial" w:cs="Arial"/>
        </w:rPr>
      </w:pPr>
    </w:p>
    <w:p w:rsidR="00DB1F9A" w:rsidRDefault="00DB1F9A" w:rsidP="00A9043C">
      <w:pPr>
        <w:pStyle w:val="ListParagraph"/>
        <w:jc w:val="both"/>
        <w:rPr>
          <w:rFonts w:ascii="Arial" w:hAnsi="Arial" w:cs="Arial"/>
        </w:rPr>
      </w:pPr>
    </w:p>
    <w:p w:rsidR="00BF452E" w:rsidRPr="0011316D" w:rsidRDefault="00BF452E" w:rsidP="00A9043C">
      <w:pPr>
        <w:jc w:val="both"/>
        <w:rPr>
          <w:rFonts w:ascii="Arial" w:hAnsi="Arial" w:cs="Arial"/>
        </w:rPr>
      </w:pPr>
    </w:p>
    <w:p w:rsidR="00D21609" w:rsidRPr="0011316D" w:rsidRDefault="00D21609" w:rsidP="00A9043C">
      <w:pPr>
        <w:jc w:val="both"/>
        <w:rPr>
          <w:rFonts w:ascii="Arial" w:hAnsi="Arial" w:cs="Arial"/>
          <w:b/>
          <w:sz w:val="32"/>
          <w:szCs w:val="32"/>
        </w:rPr>
      </w:pPr>
      <w:r w:rsidRPr="0011316D">
        <w:rPr>
          <w:rFonts w:ascii="Arial" w:hAnsi="Arial" w:cs="Arial"/>
          <w:b/>
          <w:sz w:val="32"/>
          <w:szCs w:val="32"/>
        </w:rPr>
        <w:t>The Local Dimension</w:t>
      </w:r>
    </w:p>
    <w:p w:rsidR="00D21609" w:rsidRPr="0011316D" w:rsidRDefault="00D21609" w:rsidP="00A9043C">
      <w:pPr>
        <w:jc w:val="both"/>
        <w:rPr>
          <w:rFonts w:ascii="Arial" w:hAnsi="Arial" w:cs="Arial"/>
        </w:rPr>
      </w:pPr>
    </w:p>
    <w:p w:rsidR="00514FBD" w:rsidRPr="0011316D" w:rsidRDefault="00BD3846" w:rsidP="00A9043C">
      <w:pPr>
        <w:jc w:val="both"/>
        <w:rPr>
          <w:rFonts w:ascii="Arial" w:hAnsi="Arial" w:cs="Arial"/>
        </w:rPr>
      </w:pPr>
      <w:r w:rsidRPr="0011316D">
        <w:rPr>
          <w:rFonts w:ascii="Arial" w:hAnsi="Arial" w:cs="Arial"/>
        </w:rPr>
        <w:t>South Yorkshire</w:t>
      </w:r>
      <w:r w:rsidR="0011316D">
        <w:rPr>
          <w:rFonts w:ascii="Arial" w:hAnsi="Arial" w:cs="Arial"/>
        </w:rPr>
        <w:t xml:space="preserve"> wa</w:t>
      </w:r>
      <w:r w:rsidR="00CD6359" w:rsidRPr="0011316D">
        <w:rPr>
          <w:rFonts w:ascii="Arial" w:hAnsi="Arial" w:cs="Arial"/>
        </w:rPr>
        <w:t>s</w:t>
      </w:r>
      <w:r w:rsidR="0011316D">
        <w:rPr>
          <w:rFonts w:ascii="Arial" w:hAnsi="Arial" w:cs="Arial"/>
        </w:rPr>
        <w:t xml:space="preserve"> not</w:t>
      </w:r>
      <w:r w:rsidR="00CD6359" w:rsidRPr="0011316D">
        <w:rPr>
          <w:rFonts w:ascii="Arial" w:hAnsi="Arial" w:cs="Arial"/>
        </w:rPr>
        <w:t xml:space="preserve"> </w:t>
      </w:r>
      <w:r w:rsidR="00122B0C" w:rsidRPr="0011316D">
        <w:rPr>
          <w:rFonts w:ascii="Arial" w:hAnsi="Arial" w:cs="Arial"/>
        </w:rPr>
        <w:t>included in the Government’s list of 25 priorit</w:t>
      </w:r>
      <w:r w:rsidR="0011316D">
        <w:rPr>
          <w:rFonts w:ascii="Arial" w:hAnsi="Arial" w:cs="Arial"/>
        </w:rPr>
        <w:t>y areas</w:t>
      </w:r>
      <w:r w:rsidR="00274A41">
        <w:rPr>
          <w:rFonts w:ascii="Arial" w:hAnsi="Arial" w:cs="Arial"/>
        </w:rPr>
        <w:t xml:space="preserve"> to receive </w:t>
      </w:r>
      <w:r w:rsidR="0011316D">
        <w:rPr>
          <w:rFonts w:ascii="Arial" w:hAnsi="Arial" w:cs="Arial"/>
        </w:rPr>
        <w:t xml:space="preserve">funding </w:t>
      </w:r>
      <w:r w:rsidR="00122B0C" w:rsidRPr="0011316D">
        <w:rPr>
          <w:rFonts w:ascii="Arial" w:hAnsi="Arial" w:cs="Arial"/>
        </w:rPr>
        <w:t xml:space="preserve">for activities </w:t>
      </w:r>
      <w:r w:rsidR="00274A41">
        <w:rPr>
          <w:rFonts w:ascii="Arial" w:hAnsi="Arial" w:cs="Arial"/>
        </w:rPr>
        <w:t xml:space="preserve">to </w:t>
      </w:r>
      <w:r w:rsidR="00122B0C" w:rsidRPr="0011316D">
        <w:rPr>
          <w:rFonts w:ascii="Arial" w:hAnsi="Arial" w:cs="Arial"/>
        </w:rPr>
        <w:t>address specific local risks.</w:t>
      </w:r>
      <w:r w:rsidR="00122B0C" w:rsidRPr="0011316D">
        <w:rPr>
          <w:rStyle w:val="FootnoteReference"/>
          <w:rFonts w:ascii="Arial" w:hAnsi="Arial" w:cs="Arial"/>
        </w:rPr>
        <w:footnoteReference w:id="4"/>
      </w:r>
      <w:r w:rsidR="00122B0C" w:rsidRPr="0011316D">
        <w:rPr>
          <w:rFonts w:ascii="Arial" w:hAnsi="Arial" w:cs="Arial"/>
        </w:rPr>
        <w:t xml:space="preserve"> </w:t>
      </w:r>
      <w:r w:rsidR="00274A41">
        <w:rPr>
          <w:rFonts w:ascii="Arial" w:hAnsi="Arial" w:cs="Arial"/>
        </w:rPr>
        <w:t xml:space="preserve"> Despite this, a</w:t>
      </w:r>
      <w:r w:rsidR="00122B0C" w:rsidRPr="0011316D">
        <w:rPr>
          <w:rFonts w:ascii="Arial" w:hAnsi="Arial" w:cs="Arial"/>
        </w:rPr>
        <w:t xml:space="preserve">pplication of this protocol is necessary in order </w:t>
      </w:r>
      <w:r w:rsidR="00514FBD" w:rsidRPr="0011316D">
        <w:rPr>
          <w:rFonts w:ascii="Arial" w:hAnsi="Arial" w:cs="Arial"/>
        </w:rPr>
        <w:t>that</w:t>
      </w:r>
      <w:r w:rsidR="00122B0C" w:rsidRPr="0011316D">
        <w:rPr>
          <w:rFonts w:ascii="Arial" w:hAnsi="Arial" w:cs="Arial"/>
        </w:rPr>
        <w:t xml:space="preserve"> the real threat of </w:t>
      </w:r>
      <w:r w:rsidR="00514FBD" w:rsidRPr="0011316D">
        <w:rPr>
          <w:rFonts w:ascii="Arial" w:hAnsi="Arial" w:cs="Arial"/>
        </w:rPr>
        <w:t>individuals being drawn into acts of terrorism is addressed locally.</w:t>
      </w:r>
      <w:r w:rsidR="00274A41">
        <w:rPr>
          <w:rFonts w:ascii="Arial" w:hAnsi="Arial" w:cs="Arial"/>
        </w:rPr>
        <w:t xml:space="preserve">  Experience has shown that t</w:t>
      </w:r>
      <w:r w:rsidR="00CD6359" w:rsidRPr="0011316D">
        <w:rPr>
          <w:rFonts w:ascii="Arial" w:hAnsi="Arial" w:cs="Arial"/>
        </w:rPr>
        <w:t>errorists, like other criminals</w:t>
      </w:r>
      <w:r w:rsidR="00274A41">
        <w:rPr>
          <w:rFonts w:ascii="Arial" w:hAnsi="Arial" w:cs="Arial"/>
        </w:rPr>
        <w:t>,</w:t>
      </w:r>
      <w:r w:rsidR="00CD6359" w:rsidRPr="0011316D">
        <w:rPr>
          <w:rFonts w:ascii="Arial" w:hAnsi="Arial" w:cs="Arial"/>
        </w:rPr>
        <w:t xml:space="preserve"> do not operate within geographical boundaries and no community can be considered immune.</w:t>
      </w:r>
    </w:p>
    <w:p w:rsidR="00514FBD" w:rsidRPr="0011316D" w:rsidRDefault="00514FBD" w:rsidP="00A9043C">
      <w:pPr>
        <w:jc w:val="both"/>
        <w:rPr>
          <w:rFonts w:ascii="Arial" w:hAnsi="Arial" w:cs="Arial"/>
        </w:rPr>
      </w:pPr>
    </w:p>
    <w:p w:rsidR="00AD692A" w:rsidRPr="0011316D" w:rsidRDefault="00514FBD" w:rsidP="00A9043C">
      <w:pPr>
        <w:jc w:val="both"/>
        <w:rPr>
          <w:rFonts w:ascii="Arial" w:hAnsi="Arial" w:cs="Arial"/>
        </w:rPr>
      </w:pPr>
      <w:r w:rsidRPr="0011316D">
        <w:rPr>
          <w:rFonts w:ascii="Arial" w:hAnsi="Arial" w:cs="Arial"/>
        </w:rPr>
        <w:t>Guidance set down in the original Prevent Strategy (June 2008) remains valid</w:t>
      </w:r>
      <w:r w:rsidR="00274A41">
        <w:rPr>
          <w:rFonts w:ascii="Arial" w:hAnsi="Arial" w:cs="Arial"/>
        </w:rPr>
        <w:t>,</w:t>
      </w:r>
      <w:r w:rsidRPr="0011316D">
        <w:rPr>
          <w:rFonts w:ascii="Arial" w:hAnsi="Arial" w:cs="Arial"/>
        </w:rPr>
        <w:t xml:space="preserve"> sta</w:t>
      </w:r>
      <w:r w:rsidR="00274A41">
        <w:rPr>
          <w:rFonts w:ascii="Arial" w:hAnsi="Arial" w:cs="Arial"/>
        </w:rPr>
        <w:t>ting that multi-agency working i</w:t>
      </w:r>
      <w:r w:rsidRPr="0011316D">
        <w:rPr>
          <w:rFonts w:ascii="Arial" w:hAnsi="Arial" w:cs="Arial"/>
        </w:rPr>
        <w:t>s crucial to the effectiveness of a local</w:t>
      </w:r>
      <w:r w:rsidR="001B04B0" w:rsidRPr="0011316D">
        <w:rPr>
          <w:rFonts w:ascii="Arial" w:hAnsi="Arial" w:cs="Arial"/>
        </w:rPr>
        <w:t>ly</w:t>
      </w:r>
      <w:r w:rsidRPr="0011316D">
        <w:rPr>
          <w:rFonts w:ascii="Arial" w:hAnsi="Arial" w:cs="Arial"/>
        </w:rPr>
        <w:t xml:space="preserve">-delivered Prevent programme. </w:t>
      </w:r>
      <w:r w:rsidR="00274A41">
        <w:rPr>
          <w:rFonts w:ascii="Arial" w:hAnsi="Arial" w:cs="Arial"/>
        </w:rPr>
        <w:t xml:space="preserve"> </w:t>
      </w:r>
      <w:r w:rsidRPr="0011316D">
        <w:rPr>
          <w:rFonts w:ascii="Arial" w:hAnsi="Arial" w:cs="Arial"/>
        </w:rPr>
        <w:t>A programme of action was to be developed which:</w:t>
      </w:r>
    </w:p>
    <w:p w:rsidR="00514FBD" w:rsidRPr="0011316D" w:rsidRDefault="00514FBD" w:rsidP="00A9043C">
      <w:pPr>
        <w:jc w:val="both"/>
        <w:rPr>
          <w:rFonts w:ascii="Arial" w:hAnsi="Arial" w:cs="Arial"/>
        </w:rPr>
      </w:pPr>
    </w:p>
    <w:p w:rsidR="00514FBD" w:rsidRPr="0011316D" w:rsidRDefault="00E50611" w:rsidP="00A9043C">
      <w:pPr>
        <w:pStyle w:val="ListParagraph"/>
        <w:numPr>
          <w:ilvl w:val="0"/>
          <w:numId w:val="4"/>
        </w:numPr>
        <w:jc w:val="both"/>
        <w:rPr>
          <w:rFonts w:ascii="Arial" w:hAnsi="Arial" w:cs="Arial"/>
        </w:rPr>
      </w:pPr>
      <w:r w:rsidRPr="0011316D">
        <w:rPr>
          <w:rFonts w:ascii="Arial" w:hAnsi="Arial" w:cs="Arial"/>
        </w:rPr>
        <w:t>m</w:t>
      </w:r>
      <w:r w:rsidR="00514FBD" w:rsidRPr="0011316D">
        <w:rPr>
          <w:rFonts w:ascii="Arial" w:hAnsi="Arial" w:cs="Arial"/>
        </w:rPr>
        <w:t xml:space="preserve">eets </w:t>
      </w:r>
      <w:r w:rsidRPr="0011316D">
        <w:rPr>
          <w:rFonts w:ascii="Arial" w:hAnsi="Arial" w:cs="Arial"/>
        </w:rPr>
        <w:t>the specific objectives of the Prevent Strategy;</w:t>
      </w:r>
    </w:p>
    <w:p w:rsidR="00E50611" w:rsidRPr="0011316D" w:rsidRDefault="00E50611" w:rsidP="00A9043C">
      <w:pPr>
        <w:ind w:left="360"/>
        <w:jc w:val="both"/>
        <w:rPr>
          <w:rFonts w:ascii="Arial" w:hAnsi="Arial" w:cs="Arial"/>
        </w:rPr>
      </w:pPr>
    </w:p>
    <w:p w:rsidR="00E50611" w:rsidRPr="0011316D" w:rsidRDefault="00E50611" w:rsidP="00A9043C">
      <w:pPr>
        <w:pStyle w:val="ListParagraph"/>
        <w:numPr>
          <w:ilvl w:val="0"/>
          <w:numId w:val="4"/>
        </w:numPr>
        <w:jc w:val="both"/>
        <w:rPr>
          <w:rFonts w:ascii="Arial" w:hAnsi="Arial" w:cs="Arial"/>
        </w:rPr>
      </w:pPr>
      <w:r w:rsidRPr="0011316D">
        <w:rPr>
          <w:rFonts w:ascii="Arial" w:hAnsi="Arial" w:cs="Arial"/>
        </w:rPr>
        <w:t>is jointly agreed and managed by the police, local authority and other partners;</w:t>
      </w:r>
    </w:p>
    <w:p w:rsidR="00E50611" w:rsidRPr="0011316D" w:rsidRDefault="00E50611" w:rsidP="00A9043C">
      <w:pPr>
        <w:pStyle w:val="ListParagraph"/>
        <w:jc w:val="both"/>
        <w:rPr>
          <w:rFonts w:ascii="Arial" w:hAnsi="Arial" w:cs="Arial"/>
        </w:rPr>
      </w:pPr>
    </w:p>
    <w:p w:rsidR="00E50611" w:rsidRPr="0011316D" w:rsidRDefault="00E50611" w:rsidP="00A9043C">
      <w:pPr>
        <w:pStyle w:val="ListParagraph"/>
        <w:numPr>
          <w:ilvl w:val="0"/>
          <w:numId w:val="4"/>
        </w:numPr>
        <w:jc w:val="both"/>
        <w:rPr>
          <w:rFonts w:ascii="Arial" w:hAnsi="Arial" w:cs="Arial"/>
        </w:rPr>
      </w:pPr>
      <w:r w:rsidRPr="0011316D">
        <w:rPr>
          <w:rFonts w:ascii="Arial" w:hAnsi="Arial" w:cs="Arial"/>
        </w:rPr>
        <w:t>is proportionate to the level of threat in their area;</w:t>
      </w:r>
    </w:p>
    <w:p w:rsidR="00E50611" w:rsidRPr="0011316D" w:rsidRDefault="00E50611" w:rsidP="00A9043C">
      <w:pPr>
        <w:pStyle w:val="ListParagraph"/>
        <w:jc w:val="both"/>
        <w:rPr>
          <w:rFonts w:ascii="Arial" w:hAnsi="Arial" w:cs="Arial"/>
        </w:rPr>
      </w:pPr>
    </w:p>
    <w:p w:rsidR="00E50611" w:rsidRPr="0011316D" w:rsidRDefault="00E50611" w:rsidP="00A9043C">
      <w:pPr>
        <w:pStyle w:val="ListParagraph"/>
        <w:numPr>
          <w:ilvl w:val="0"/>
          <w:numId w:val="4"/>
        </w:numPr>
        <w:jc w:val="both"/>
        <w:rPr>
          <w:rFonts w:ascii="Arial" w:hAnsi="Arial" w:cs="Arial"/>
        </w:rPr>
      </w:pPr>
      <w:r w:rsidRPr="0011316D">
        <w:rPr>
          <w:rFonts w:ascii="Arial" w:hAnsi="Arial" w:cs="Arial"/>
        </w:rPr>
        <w:t>reflects local needs; and</w:t>
      </w:r>
    </w:p>
    <w:p w:rsidR="00E50611" w:rsidRPr="0011316D" w:rsidRDefault="00E50611" w:rsidP="00A9043C">
      <w:pPr>
        <w:pStyle w:val="ListParagraph"/>
        <w:jc w:val="both"/>
        <w:rPr>
          <w:rFonts w:ascii="Arial" w:hAnsi="Arial" w:cs="Arial"/>
        </w:rPr>
      </w:pPr>
    </w:p>
    <w:p w:rsidR="00E50611" w:rsidRPr="0011316D" w:rsidRDefault="00E50611" w:rsidP="00A9043C">
      <w:pPr>
        <w:pStyle w:val="ListParagraph"/>
        <w:numPr>
          <w:ilvl w:val="0"/>
          <w:numId w:val="4"/>
        </w:numPr>
        <w:jc w:val="both"/>
        <w:rPr>
          <w:rFonts w:ascii="Arial" w:hAnsi="Arial" w:cs="Arial"/>
        </w:rPr>
      </w:pPr>
      <w:r w:rsidRPr="0011316D">
        <w:rPr>
          <w:rFonts w:ascii="Arial" w:hAnsi="Arial" w:cs="Arial"/>
        </w:rPr>
        <w:t>sets out clear and tangible milestones in tracking progress.”</w:t>
      </w:r>
      <w:r w:rsidRPr="0011316D">
        <w:rPr>
          <w:rStyle w:val="FootnoteReference"/>
          <w:rFonts w:ascii="Arial" w:hAnsi="Arial" w:cs="Arial"/>
        </w:rPr>
        <w:footnoteReference w:id="5"/>
      </w:r>
    </w:p>
    <w:p w:rsidR="001B04B0" w:rsidRPr="0011316D" w:rsidRDefault="001B04B0" w:rsidP="00A9043C">
      <w:pPr>
        <w:jc w:val="both"/>
        <w:rPr>
          <w:rFonts w:ascii="Arial" w:hAnsi="Arial" w:cs="Arial"/>
        </w:rPr>
      </w:pPr>
      <w:r w:rsidRPr="0011316D">
        <w:rPr>
          <w:rFonts w:ascii="Arial" w:hAnsi="Arial" w:cs="Arial"/>
        </w:rPr>
        <w:lastRenderedPageBreak/>
        <w:t xml:space="preserve">Such a programme </w:t>
      </w:r>
      <w:r w:rsidR="006C302E">
        <w:rPr>
          <w:rFonts w:ascii="Arial" w:hAnsi="Arial" w:cs="Arial"/>
        </w:rPr>
        <w:t xml:space="preserve">(WRAP) </w:t>
      </w:r>
      <w:r w:rsidRPr="0011316D">
        <w:rPr>
          <w:rFonts w:ascii="Arial" w:hAnsi="Arial" w:cs="Arial"/>
        </w:rPr>
        <w:t xml:space="preserve">has been developed and implemented. </w:t>
      </w:r>
      <w:r w:rsidR="00274A41">
        <w:rPr>
          <w:rFonts w:ascii="Arial" w:hAnsi="Arial" w:cs="Arial"/>
        </w:rPr>
        <w:t xml:space="preserve"> </w:t>
      </w:r>
      <w:r w:rsidR="00870DE1">
        <w:rPr>
          <w:rFonts w:ascii="Arial" w:hAnsi="Arial" w:cs="Arial"/>
        </w:rPr>
        <w:t>Tr</w:t>
      </w:r>
      <w:r w:rsidRPr="0011316D">
        <w:rPr>
          <w:rFonts w:ascii="Arial" w:hAnsi="Arial" w:cs="Arial"/>
        </w:rPr>
        <w:t>aining for multi-agency partner</w:t>
      </w:r>
      <w:r w:rsidR="00274A41">
        <w:rPr>
          <w:rFonts w:ascii="Arial" w:hAnsi="Arial" w:cs="Arial"/>
        </w:rPr>
        <w:t xml:space="preserve">s has been, and continues to be </w:t>
      </w:r>
      <w:r w:rsidRPr="0011316D">
        <w:rPr>
          <w:rFonts w:ascii="Arial" w:hAnsi="Arial" w:cs="Arial"/>
        </w:rPr>
        <w:t>provided</w:t>
      </w:r>
      <w:r w:rsidR="00274A41">
        <w:rPr>
          <w:rFonts w:ascii="Arial" w:hAnsi="Arial" w:cs="Arial"/>
        </w:rPr>
        <w:t>,</w:t>
      </w:r>
      <w:r w:rsidRPr="0011316D">
        <w:rPr>
          <w:rFonts w:ascii="Arial" w:hAnsi="Arial" w:cs="Arial"/>
        </w:rPr>
        <w:t xml:space="preserve"> increasing awareness of the issue</w:t>
      </w:r>
      <w:r w:rsidR="00274A41">
        <w:rPr>
          <w:rFonts w:ascii="Arial" w:hAnsi="Arial" w:cs="Arial"/>
        </w:rPr>
        <w:t>s relating</w:t>
      </w:r>
      <w:r w:rsidR="000026BD" w:rsidRPr="0011316D">
        <w:rPr>
          <w:rFonts w:ascii="Arial" w:hAnsi="Arial" w:cs="Arial"/>
        </w:rPr>
        <w:t xml:space="preserve"> to violent extremism and the recognition of</w:t>
      </w:r>
      <w:r w:rsidRPr="0011316D">
        <w:rPr>
          <w:rFonts w:ascii="Arial" w:hAnsi="Arial" w:cs="Arial"/>
        </w:rPr>
        <w:t xml:space="preserve"> vulnerable groups. </w:t>
      </w:r>
      <w:r w:rsidR="00274A41">
        <w:rPr>
          <w:rFonts w:ascii="Arial" w:hAnsi="Arial" w:cs="Arial"/>
        </w:rPr>
        <w:t xml:space="preserve"> </w:t>
      </w:r>
      <w:r w:rsidRPr="0011316D">
        <w:rPr>
          <w:rFonts w:ascii="Arial" w:hAnsi="Arial" w:cs="Arial"/>
        </w:rPr>
        <w:t xml:space="preserve">This protocol serves to supplement </w:t>
      </w:r>
      <w:r w:rsidR="000026BD" w:rsidRPr="0011316D">
        <w:rPr>
          <w:rFonts w:ascii="Arial" w:hAnsi="Arial" w:cs="Arial"/>
        </w:rPr>
        <w:t xml:space="preserve">this work and provide a procedure for alerting and reporting concerns </w:t>
      </w:r>
      <w:r w:rsidR="008B6847">
        <w:rPr>
          <w:rFonts w:ascii="Arial" w:hAnsi="Arial" w:cs="Arial"/>
        </w:rPr>
        <w:t xml:space="preserve">about an individual, </w:t>
      </w:r>
      <w:r w:rsidR="000026BD" w:rsidRPr="0011316D">
        <w:rPr>
          <w:rFonts w:ascii="Arial" w:hAnsi="Arial" w:cs="Arial"/>
        </w:rPr>
        <w:t xml:space="preserve">when radicalisation </w:t>
      </w:r>
      <w:r w:rsidR="001C1B49">
        <w:rPr>
          <w:rFonts w:ascii="Arial" w:hAnsi="Arial" w:cs="Arial"/>
        </w:rPr>
        <w:t>and po</w:t>
      </w:r>
      <w:r w:rsidR="008B6847">
        <w:rPr>
          <w:rFonts w:ascii="Arial" w:hAnsi="Arial" w:cs="Arial"/>
        </w:rPr>
        <w:t xml:space="preserve">tential for future violent extremist behaviour </w:t>
      </w:r>
      <w:r w:rsidR="000026BD" w:rsidRPr="0011316D">
        <w:rPr>
          <w:rFonts w:ascii="Arial" w:hAnsi="Arial" w:cs="Arial"/>
        </w:rPr>
        <w:t>is suspected.</w:t>
      </w:r>
    </w:p>
    <w:p w:rsidR="00265985" w:rsidRDefault="00265985" w:rsidP="00A9043C">
      <w:pPr>
        <w:jc w:val="both"/>
        <w:rPr>
          <w:rFonts w:ascii="Arial" w:hAnsi="Arial" w:cs="Arial"/>
          <w:b/>
          <w:sz w:val="32"/>
          <w:szCs w:val="32"/>
        </w:rPr>
      </w:pPr>
    </w:p>
    <w:p w:rsidR="003C6906" w:rsidRPr="0011316D" w:rsidRDefault="002532D2" w:rsidP="00A9043C">
      <w:pPr>
        <w:jc w:val="both"/>
        <w:rPr>
          <w:rFonts w:ascii="Arial" w:hAnsi="Arial" w:cs="Arial"/>
          <w:b/>
          <w:sz w:val="32"/>
          <w:szCs w:val="32"/>
        </w:rPr>
      </w:pPr>
      <w:r w:rsidRPr="0011316D">
        <w:rPr>
          <w:rFonts w:ascii="Arial" w:hAnsi="Arial" w:cs="Arial"/>
          <w:b/>
          <w:sz w:val="32"/>
          <w:szCs w:val="32"/>
        </w:rPr>
        <w:t>Scope of the Protocol</w:t>
      </w:r>
    </w:p>
    <w:p w:rsidR="002532D2" w:rsidRPr="0011316D" w:rsidRDefault="002532D2" w:rsidP="00A9043C">
      <w:pPr>
        <w:jc w:val="both"/>
        <w:rPr>
          <w:rFonts w:ascii="Arial" w:hAnsi="Arial" w:cs="Arial"/>
        </w:rPr>
      </w:pPr>
    </w:p>
    <w:p w:rsidR="002532D2" w:rsidRPr="0011316D" w:rsidRDefault="002532D2" w:rsidP="00A9043C">
      <w:pPr>
        <w:jc w:val="both"/>
        <w:rPr>
          <w:rFonts w:ascii="Arial" w:hAnsi="Arial" w:cs="Arial"/>
        </w:rPr>
      </w:pPr>
      <w:r w:rsidRPr="0011316D">
        <w:rPr>
          <w:rFonts w:ascii="Arial" w:hAnsi="Arial" w:cs="Arial"/>
        </w:rPr>
        <w:t xml:space="preserve">This protocol applies to the prevention of </w:t>
      </w:r>
      <w:r w:rsidR="007B7A76">
        <w:rPr>
          <w:rFonts w:ascii="Arial" w:hAnsi="Arial" w:cs="Arial"/>
        </w:rPr>
        <w:t>all forms of terrorist or violent extremist activity and the radi</w:t>
      </w:r>
      <w:r w:rsidRPr="0011316D">
        <w:rPr>
          <w:rFonts w:ascii="Arial" w:hAnsi="Arial" w:cs="Arial"/>
        </w:rPr>
        <w:t xml:space="preserve">calisation of </w:t>
      </w:r>
      <w:r w:rsidR="007B7A76">
        <w:rPr>
          <w:rFonts w:ascii="Arial" w:hAnsi="Arial" w:cs="Arial"/>
        </w:rPr>
        <w:t>vulnerable individuals.  This</w:t>
      </w:r>
      <w:r w:rsidR="00C07DFA" w:rsidRPr="0011316D">
        <w:rPr>
          <w:rFonts w:ascii="Arial" w:hAnsi="Arial" w:cs="Arial"/>
        </w:rPr>
        <w:t xml:space="preserve"> protocol</w:t>
      </w:r>
      <w:r w:rsidRPr="0011316D">
        <w:rPr>
          <w:rFonts w:ascii="Arial" w:hAnsi="Arial" w:cs="Arial"/>
        </w:rPr>
        <w:t xml:space="preserve"> applies to all </w:t>
      </w:r>
      <w:r w:rsidR="00C07DFA" w:rsidRPr="0011316D">
        <w:rPr>
          <w:rFonts w:ascii="Arial" w:hAnsi="Arial" w:cs="Arial"/>
        </w:rPr>
        <w:t xml:space="preserve">partner </w:t>
      </w:r>
      <w:r w:rsidRPr="0011316D">
        <w:rPr>
          <w:rFonts w:ascii="Arial" w:hAnsi="Arial" w:cs="Arial"/>
        </w:rPr>
        <w:t xml:space="preserve">agencies and organisations with responsibilities for the provision </w:t>
      </w:r>
      <w:r w:rsidR="00B47586">
        <w:rPr>
          <w:rFonts w:ascii="Arial" w:hAnsi="Arial" w:cs="Arial"/>
        </w:rPr>
        <w:t xml:space="preserve">of social </w:t>
      </w:r>
      <w:r w:rsidRPr="0011316D">
        <w:rPr>
          <w:rFonts w:ascii="Arial" w:hAnsi="Arial" w:cs="Arial"/>
        </w:rPr>
        <w:t>care services</w:t>
      </w:r>
      <w:r w:rsidR="00B47586">
        <w:rPr>
          <w:rFonts w:ascii="Arial" w:hAnsi="Arial" w:cs="Arial"/>
        </w:rPr>
        <w:t xml:space="preserve"> and </w:t>
      </w:r>
      <w:r w:rsidR="00122B0C" w:rsidRPr="0011316D">
        <w:rPr>
          <w:rFonts w:ascii="Arial" w:hAnsi="Arial" w:cs="Arial"/>
        </w:rPr>
        <w:t xml:space="preserve">seeks to address the second aim of the </w:t>
      </w:r>
      <w:r w:rsidR="00122B0C" w:rsidRPr="0011316D">
        <w:rPr>
          <w:rFonts w:ascii="Arial" w:hAnsi="Arial" w:cs="Arial"/>
          <w:i/>
        </w:rPr>
        <w:t xml:space="preserve">Prevent </w:t>
      </w:r>
      <w:r w:rsidR="00122B0C" w:rsidRPr="0011316D">
        <w:rPr>
          <w:rFonts w:ascii="Arial" w:hAnsi="Arial" w:cs="Arial"/>
        </w:rPr>
        <w:t>strategy outlined above.</w:t>
      </w:r>
    </w:p>
    <w:p w:rsidR="00C07DFA" w:rsidRPr="0011316D" w:rsidRDefault="00C07DFA" w:rsidP="00A9043C">
      <w:pPr>
        <w:jc w:val="both"/>
        <w:rPr>
          <w:rFonts w:ascii="Arial" w:hAnsi="Arial" w:cs="Arial"/>
        </w:rPr>
      </w:pPr>
    </w:p>
    <w:p w:rsidR="00C07DFA" w:rsidRPr="0011316D" w:rsidRDefault="004A0438" w:rsidP="00A9043C">
      <w:pPr>
        <w:jc w:val="both"/>
        <w:rPr>
          <w:rFonts w:ascii="Arial" w:hAnsi="Arial" w:cs="Arial"/>
        </w:rPr>
      </w:pPr>
      <w:r w:rsidRPr="0011316D">
        <w:rPr>
          <w:rFonts w:ascii="Arial" w:hAnsi="Arial" w:cs="Arial"/>
        </w:rPr>
        <w:t>However, t</w:t>
      </w:r>
      <w:r w:rsidR="00C07DFA" w:rsidRPr="0011316D">
        <w:rPr>
          <w:rFonts w:ascii="Arial" w:hAnsi="Arial" w:cs="Arial"/>
        </w:rPr>
        <w:t>he protocol is not restricted to partner agencies alone. In the interests of the promotion of community cohesion</w:t>
      </w:r>
      <w:r w:rsidRPr="0011316D">
        <w:rPr>
          <w:rFonts w:ascii="Arial" w:hAnsi="Arial" w:cs="Arial"/>
        </w:rPr>
        <w:t xml:space="preserve"> and the ideology and application of the </w:t>
      </w:r>
      <w:r w:rsidRPr="0011316D">
        <w:rPr>
          <w:rFonts w:ascii="Arial" w:hAnsi="Arial" w:cs="Arial"/>
          <w:i/>
        </w:rPr>
        <w:t>Prevent</w:t>
      </w:r>
      <w:r w:rsidRPr="0011316D">
        <w:rPr>
          <w:rFonts w:ascii="Arial" w:hAnsi="Arial" w:cs="Arial"/>
        </w:rPr>
        <w:t xml:space="preserve"> strategy for the prevention of violent extremism</w:t>
      </w:r>
      <w:r w:rsidR="00C07DFA" w:rsidRPr="0011316D">
        <w:rPr>
          <w:rFonts w:ascii="Arial" w:hAnsi="Arial" w:cs="Arial"/>
        </w:rPr>
        <w:t xml:space="preserve">, non-partner agencies are </w:t>
      </w:r>
      <w:r w:rsidRPr="0011316D">
        <w:rPr>
          <w:rFonts w:ascii="Arial" w:hAnsi="Arial" w:cs="Arial"/>
        </w:rPr>
        <w:t xml:space="preserve">also </w:t>
      </w:r>
      <w:r w:rsidR="00C07DFA" w:rsidRPr="0011316D">
        <w:rPr>
          <w:rFonts w:ascii="Arial" w:hAnsi="Arial" w:cs="Arial"/>
        </w:rPr>
        <w:t>encouraged to apply this protocol</w:t>
      </w:r>
      <w:r w:rsidRPr="0011316D">
        <w:rPr>
          <w:rFonts w:ascii="Arial" w:hAnsi="Arial" w:cs="Arial"/>
        </w:rPr>
        <w:t xml:space="preserve"> and to alert the </w:t>
      </w:r>
      <w:r w:rsidR="00A879A3">
        <w:rPr>
          <w:rFonts w:ascii="Arial" w:hAnsi="Arial" w:cs="Arial"/>
        </w:rPr>
        <w:t>appropriate safeguarding s</w:t>
      </w:r>
      <w:r w:rsidRPr="0011316D">
        <w:rPr>
          <w:rFonts w:ascii="Arial" w:hAnsi="Arial" w:cs="Arial"/>
        </w:rPr>
        <w:t>ervice</w:t>
      </w:r>
      <w:r w:rsidR="00A879A3">
        <w:rPr>
          <w:rFonts w:ascii="Arial" w:hAnsi="Arial" w:cs="Arial"/>
        </w:rPr>
        <w:t>s</w:t>
      </w:r>
      <w:r w:rsidRPr="0011316D">
        <w:rPr>
          <w:rFonts w:ascii="Arial" w:hAnsi="Arial" w:cs="Arial"/>
        </w:rPr>
        <w:t xml:space="preserve"> </w:t>
      </w:r>
      <w:r w:rsidR="00C86B31" w:rsidRPr="0011316D">
        <w:rPr>
          <w:rFonts w:ascii="Arial" w:hAnsi="Arial" w:cs="Arial"/>
        </w:rPr>
        <w:t>as necessary</w:t>
      </w:r>
      <w:r w:rsidR="00A879A3">
        <w:rPr>
          <w:rFonts w:ascii="Arial" w:hAnsi="Arial" w:cs="Arial"/>
        </w:rPr>
        <w:t xml:space="preserve"> to share any concerns</w:t>
      </w:r>
      <w:r w:rsidR="00C86B31" w:rsidRPr="0011316D">
        <w:rPr>
          <w:rFonts w:ascii="Arial" w:hAnsi="Arial" w:cs="Arial"/>
        </w:rPr>
        <w:t>.</w:t>
      </w:r>
    </w:p>
    <w:p w:rsidR="00715CC0" w:rsidRPr="0011316D" w:rsidRDefault="00715CC0" w:rsidP="00A9043C">
      <w:pPr>
        <w:jc w:val="both"/>
        <w:rPr>
          <w:rFonts w:ascii="Arial" w:hAnsi="Arial" w:cs="Arial"/>
        </w:rPr>
      </w:pPr>
    </w:p>
    <w:p w:rsidR="00715CC0" w:rsidRPr="0011316D" w:rsidRDefault="00715CC0" w:rsidP="00A9043C">
      <w:pPr>
        <w:jc w:val="both"/>
        <w:rPr>
          <w:rFonts w:ascii="Arial" w:hAnsi="Arial" w:cs="Arial"/>
        </w:rPr>
      </w:pPr>
      <w:r w:rsidRPr="0011316D">
        <w:rPr>
          <w:rFonts w:ascii="Arial" w:hAnsi="Arial" w:cs="Arial"/>
        </w:rPr>
        <w:t xml:space="preserve">Although initial concerns may be </w:t>
      </w:r>
      <w:r w:rsidR="00EC335E">
        <w:rPr>
          <w:rFonts w:ascii="Arial" w:hAnsi="Arial" w:cs="Arial"/>
        </w:rPr>
        <w:t>focused on an</w:t>
      </w:r>
      <w:r w:rsidRPr="0011316D">
        <w:rPr>
          <w:rFonts w:ascii="Arial" w:hAnsi="Arial" w:cs="Arial"/>
        </w:rPr>
        <w:t xml:space="preserve"> increased susceptibility to terrorism</w:t>
      </w:r>
      <w:r w:rsidR="00EC335E">
        <w:rPr>
          <w:rFonts w:ascii="Arial" w:hAnsi="Arial" w:cs="Arial"/>
        </w:rPr>
        <w:t xml:space="preserve"> </w:t>
      </w:r>
      <w:r w:rsidRPr="0011316D">
        <w:rPr>
          <w:rFonts w:ascii="Arial" w:hAnsi="Arial" w:cs="Arial"/>
        </w:rPr>
        <w:t>/</w:t>
      </w:r>
      <w:r w:rsidR="00EC335E">
        <w:rPr>
          <w:rFonts w:ascii="Arial" w:hAnsi="Arial" w:cs="Arial"/>
        </w:rPr>
        <w:t xml:space="preserve"> </w:t>
      </w:r>
      <w:r w:rsidRPr="0011316D">
        <w:rPr>
          <w:rFonts w:ascii="Arial" w:hAnsi="Arial" w:cs="Arial"/>
        </w:rPr>
        <w:t xml:space="preserve">violent extremism, further enquiries may lead to a different type of vulnerability and risk being identified. </w:t>
      </w:r>
      <w:r w:rsidR="00EC335E">
        <w:rPr>
          <w:rFonts w:ascii="Arial" w:hAnsi="Arial" w:cs="Arial"/>
        </w:rPr>
        <w:t xml:space="preserve"> </w:t>
      </w:r>
      <w:r w:rsidRPr="0011316D">
        <w:rPr>
          <w:rFonts w:ascii="Arial" w:hAnsi="Arial" w:cs="Arial"/>
        </w:rPr>
        <w:t xml:space="preserve">It should be emphasised that </w:t>
      </w:r>
      <w:r w:rsidR="00EC335E">
        <w:rPr>
          <w:rFonts w:ascii="Arial" w:hAnsi="Arial" w:cs="Arial"/>
        </w:rPr>
        <w:t xml:space="preserve">the </w:t>
      </w:r>
      <w:r w:rsidRPr="0011316D">
        <w:rPr>
          <w:rFonts w:ascii="Arial" w:hAnsi="Arial" w:cs="Arial"/>
        </w:rPr>
        <w:t>overarching principal</w:t>
      </w:r>
      <w:r w:rsidR="00EC335E">
        <w:rPr>
          <w:rFonts w:ascii="Arial" w:hAnsi="Arial" w:cs="Arial"/>
        </w:rPr>
        <w:t xml:space="preserve"> of this approach</w:t>
      </w:r>
      <w:r w:rsidRPr="0011316D">
        <w:rPr>
          <w:rFonts w:ascii="Arial" w:hAnsi="Arial" w:cs="Arial"/>
        </w:rPr>
        <w:t xml:space="preserve"> is around safeguarding – signposting and information sharing should take place to</w:t>
      </w:r>
      <w:r w:rsidR="00554AED" w:rsidRPr="0011316D">
        <w:rPr>
          <w:rFonts w:ascii="Arial" w:hAnsi="Arial" w:cs="Arial"/>
        </w:rPr>
        <w:t xml:space="preserve"> prevent other types of risk.</w:t>
      </w:r>
      <w:r w:rsidRPr="0011316D">
        <w:rPr>
          <w:rFonts w:ascii="Arial" w:hAnsi="Arial" w:cs="Arial"/>
        </w:rPr>
        <w:t xml:space="preserve">    </w:t>
      </w:r>
    </w:p>
    <w:p w:rsidR="0063687F" w:rsidRDefault="0063687F" w:rsidP="00A9043C">
      <w:pPr>
        <w:jc w:val="both"/>
        <w:rPr>
          <w:rFonts w:ascii="Arial" w:hAnsi="Arial" w:cs="Arial"/>
          <w:b/>
          <w:sz w:val="32"/>
          <w:szCs w:val="32"/>
        </w:rPr>
      </w:pPr>
    </w:p>
    <w:p w:rsidR="00D93D95" w:rsidRPr="0011316D" w:rsidRDefault="000026BD" w:rsidP="00A9043C">
      <w:pPr>
        <w:jc w:val="both"/>
        <w:rPr>
          <w:rFonts w:ascii="Arial" w:hAnsi="Arial" w:cs="Arial"/>
          <w:b/>
          <w:sz w:val="32"/>
          <w:szCs w:val="32"/>
        </w:rPr>
      </w:pPr>
      <w:r w:rsidRPr="0011316D">
        <w:rPr>
          <w:rFonts w:ascii="Arial" w:hAnsi="Arial" w:cs="Arial"/>
          <w:b/>
          <w:sz w:val="32"/>
          <w:szCs w:val="32"/>
        </w:rPr>
        <w:t>Thresholds for Violent Extremism</w:t>
      </w:r>
    </w:p>
    <w:p w:rsidR="000026BD" w:rsidRPr="0011316D" w:rsidRDefault="000026BD" w:rsidP="00A9043C">
      <w:pPr>
        <w:jc w:val="both"/>
        <w:rPr>
          <w:rFonts w:ascii="Arial" w:hAnsi="Arial" w:cs="Arial"/>
        </w:rPr>
      </w:pPr>
    </w:p>
    <w:p w:rsidR="000026BD" w:rsidRPr="0011316D" w:rsidRDefault="00B062C2" w:rsidP="00A9043C">
      <w:pPr>
        <w:jc w:val="both"/>
        <w:rPr>
          <w:rFonts w:ascii="Arial" w:hAnsi="Arial" w:cs="Arial"/>
        </w:rPr>
      </w:pPr>
      <w:r w:rsidRPr="0011316D">
        <w:rPr>
          <w:rFonts w:ascii="Arial" w:hAnsi="Arial" w:cs="Arial"/>
        </w:rPr>
        <w:t>It is not possible to define a</w:t>
      </w:r>
      <w:r w:rsidR="000026BD" w:rsidRPr="0011316D">
        <w:rPr>
          <w:rFonts w:ascii="Arial" w:hAnsi="Arial" w:cs="Arial"/>
        </w:rPr>
        <w:t xml:space="preserve"> ‘typical extremist’ since those involved in </w:t>
      </w:r>
      <w:r w:rsidR="00BD7490" w:rsidRPr="0011316D">
        <w:rPr>
          <w:rFonts w:ascii="Arial" w:hAnsi="Arial" w:cs="Arial"/>
        </w:rPr>
        <w:t>terrorism/</w:t>
      </w:r>
      <w:r w:rsidR="00364B24">
        <w:rPr>
          <w:rFonts w:ascii="Arial" w:hAnsi="Arial" w:cs="Arial"/>
        </w:rPr>
        <w:t xml:space="preserve">extremism come from a diverse range of backgrounds and have an equally wide </w:t>
      </w:r>
      <w:r w:rsidR="000026BD" w:rsidRPr="0011316D">
        <w:rPr>
          <w:rFonts w:ascii="Arial" w:hAnsi="Arial" w:cs="Arial"/>
        </w:rPr>
        <w:t>range of experiences.</w:t>
      </w:r>
    </w:p>
    <w:p w:rsidR="000026BD" w:rsidRPr="0011316D" w:rsidRDefault="000026BD" w:rsidP="00A9043C">
      <w:pPr>
        <w:jc w:val="both"/>
        <w:rPr>
          <w:rFonts w:ascii="Arial" w:hAnsi="Arial" w:cs="Arial"/>
        </w:rPr>
      </w:pPr>
    </w:p>
    <w:p w:rsidR="000026BD" w:rsidRPr="0011316D" w:rsidRDefault="00B062C2" w:rsidP="00A9043C">
      <w:pPr>
        <w:jc w:val="both"/>
        <w:rPr>
          <w:rFonts w:ascii="Arial" w:hAnsi="Arial" w:cs="Arial"/>
        </w:rPr>
      </w:pPr>
      <w:r w:rsidRPr="0011316D">
        <w:rPr>
          <w:rFonts w:ascii="Arial" w:hAnsi="Arial" w:cs="Arial"/>
        </w:rPr>
        <w:t>Research has shown that i</w:t>
      </w:r>
      <w:r w:rsidR="000026BD" w:rsidRPr="0011316D">
        <w:rPr>
          <w:rFonts w:ascii="Arial" w:hAnsi="Arial" w:cs="Arial"/>
        </w:rPr>
        <w:t>ndicators of vulnerability toward</w:t>
      </w:r>
      <w:r w:rsidR="00364B24">
        <w:rPr>
          <w:rFonts w:ascii="Arial" w:hAnsi="Arial" w:cs="Arial"/>
        </w:rPr>
        <w:t>s</w:t>
      </w:r>
      <w:r w:rsidR="000026BD" w:rsidRPr="0011316D">
        <w:rPr>
          <w:rFonts w:ascii="Arial" w:hAnsi="Arial" w:cs="Arial"/>
        </w:rPr>
        <w:t xml:space="preserve"> </w:t>
      </w:r>
      <w:r w:rsidR="00364B24">
        <w:rPr>
          <w:rFonts w:ascii="Arial" w:hAnsi="Arial" w:cs="Arial"/>
        </w:rPr>
        <w:t xml:space="preserve">radicalisation </w:t>
      </w:r>
      <w:r w:rsidR="00BD7490" w:rsidRPr="0011316D">
        <w:rPr>
          <w:rFonts w:ascii="Arial" w:hAnsi="Arial" w:cs="Arial"/>
        </w:rPr>
        <w:t>may</w:t>
      </w:r>
      <w:r w:rsidR="000026BD" w:rsidRPr="0011316D">
        <w:rPr>
          <w:rFonts w:ascii="Arial" w:hAnsi="Arial" w:cs="Arial"/>
        </w:rPr>
        <w:t xml:space="preserve"> include</w:t>
      </w:r>
      <w:r w:rsidR="00BD7490" w:rsidRPr="0011316D">
        <w:rPr>
          <w:rFonts w:ascii="Arial" w:hAnsi="Arial" w:cs="Arial"/>
        </w:rPr>
        <w:t xml:space="preserve"> a range of personal and external factors</w:t>
      </w:r>
      <w:r w:rsidR="000026BD" w:rsidRPr="0011316D">
        <w:rPr>
          <w:rFonts w:ascii="Arial" w:hAnsi="Arial" w:cs="Arial"/>
        </w:rPr>
        <w:t>:</w:t>
      </w:r>
    </w:p>
    <w:p w:rsidR="000026BD" w:rsidRPr="0011316D" w:rsidRDefault="000026BD" w:rsidP="00A9043C">
      <w:pPr>
        <w:jc w:val="both"/>
        <w:rPr>
          <w:rFonts w:ascii="Arial" w:hAnsi="Arial" w:cs="Arial"/>
        </w:rPr>
      </w:pPr>
    </w:p>
    <w:p w:rsidR="000026BD" w:rsidRPr="0011316D" w:rsidRDefault="00603AD3" w:rsidP="00A9043C">
      <w:pPr>
        <w:pStyle w:val="ListParagraph"/>
        <w:numPr>
          <w:ilvl w:val="0"/>
          <w:numId w:val="5"/>
        </w:numPr>
        <w:jc w:val="both"/>
        <w:rPr>
          <w:rFonts w:ascii="Arial" w:hAnsi="Arial" w:cs="Arial"/>
        </w:rPr>
      </w:pPr>
      <w:r w:rsidRPr="0011316D">
        <w:rPr>
          <w:rFonts w:ascii="Arial" w:hAnsi="Arial" w:cs="Arial"/>
          <w:b/>
        </w:rPr>
        <w:t>Identity</w:t>
      </w:r>
      <w:r w:rsidR="00B062C2" w:rsidRPr="0011316D">
        <w:rPr>
          <w:rFonts w:ascii="Arial" w:hAnsi="Arial" w:cs="Arial"/>
        </w:rPr>
        <w:t xml:space="preserve"> – that the individual feels ‘distance’ from their cultural and religious heritage and radicalisation occurs as people search for identity, meaning and </w:t>
      </w:r>
      <w:r w:rsidR="00876CEA">
        <w:rPr>
          <w:rFonts w:ascii="Arial" w:hAnsi="Arial" w:cs="Arial"/>
        </w:rPr>
        <w:t xml:space="preserve">a sense of </w:t>
      </w:r>
      <w:r w:rsidR="00B062C2" w:rsidRPr="0011316D">
        <w:rPr>
          <w:rFonts w:ascii="Arial" w:hAnsi="Arial" w:cs="Arial"/>
        </w:rPr>
        <w:t>community.</w:t>
      </w:r>
    </w:p>
    <w:p w:rsidR="00B062C2" w:rsidRPr="0011316D" w:rsidRDefault="00B062C2" w:rsidP="00A9043C">
      <w:pPr>
        <w:ind w:left="360"/>
        <w:jc w:val="both"/>
        <w:rPr>
          <w:rFonts w:ascii="Arial" w:hAnsi="Arial" w:cs="Arial"/>
        </w:rPr>
      </w:pPr>
    </w:p>
    <w:p w:rsidR="00B062C2" w:rsidRPr="0011316D" w:rsidRDefault="00C97725" w:rsidP="00A9043C">
      <w:pPr>
        <w:pStyle w:val="ListParagraph"/>
        <w:numPr>
          <w:ilvl w:val="0"/>
          <w:numId w:val="5"/>
        </w:numPr>
        <w:jc w:val="both"/>
        <w:rPr>
          <w:rFonts w:ascii="Arial" w:hAnsi="Arial" w:cs="Arial"/>
        </w:rPr>
      </w:pPr>
      <w:r w:rsidRPr="0011316D">
        <w:rPr>
          <w:rFonts w:ascii="Arial" w:hAnsi="Arial" w:cs="Arial"/>
          <w:b/>
        </w:rPr>
        <w:t>Personal Crisis</w:t>
      </w:r>
      <w:r w:rsidRPr="0011316D">
        <w:rPr>
          <w:rFonts w:ascii="Arial" w:hAnsi="Arial" w:cs="Arial"/>
        </w:rPr>
        <w:t xml:space="preserve"> – individuals often feel tension within the family, experience a sense of isolation or have a low self-esteem. They disassociate from existing friendship groups and are </w:t>
      </w:r>
      <w:r w:rsidR="00DF6E37">
        <w:rPr>
          <w:rFonts w:ascii="Arial" w:hAnsi="Arial" w:cs="Arial"/>
        </w:rPr>
        <w:t xml:space="preserve">therefore </w:t>
      </w:r>
      <w:r w:rsidRPr="0011316D">
        <w:rPr>
          <w:rFonts w:ascii="Arial" w:hAnsi="Arial" w:cs="Arial"/>
        </w:rPr>
        <w:t>susceptible to becoming involved with new, possibly extremist groups.</w:t>
      </w:r>
    </w:p>
    <w:p w:rsidR="00C97725" w:rsidRPr="0011316D" w:rsidRDefault="00C97725" w:rsidP="00A9043C">
      <w:pPr>
        <w:pStyle w:val="ListParagraph"/>
        <w:jc w:val="both"/>
        <w:rPr>
          <w:rFonts w:ascii="Arial" w:hAnsi="Arial" w:cs="Arial"/>
        </w:rPr>
      </w:pPr>
    </w:p>
    <w:p w:rsidR="00C97725" w:rsidRPr="0011316D" w:rsidRDefault="00C97725" w:rsidP="00A9043C">
      <w:pPr>
        <w:pStyle w:val="ListParagraph"/>
        <w:numPr>
          <w:ilvl w:val="0"/>
          <w:numId w:val="5"/>
        </w:numPr>
        <w:jc w:val="both"/>
        <w:rPr>
          <w:rFonts w:ascii="Arial" w:hAnsi="Arial" w:cs="Arial"/>
        </w:rPr>
      </w:pPr>
      <w:r w:rsidRPr="0011316D">
        <w:rPr>
          <w:rFonts w:ascii="Arial" w:hAnsi="Arial" w:cs="Arial"/>
          <w:b/>
        </w:rPr>
        <w:t>Personal Circumstances</w:t>
      </w:r>
      <w:r w:rsidRPr="0011316D">
        <w:rPr>
          <w:rFonts w:ascii="Arial" w:hAnsi="Arial" w:cs="Arial"/>
        </w:rPr>
        <w:t xml:space="preserve"> – local community tensions and events affecting their country or region of origin. They feel alienation from UK values and may feel a sense of grievance</w:t>
      </w:r>
      <w:r w:rsidR="00DF6E37">
        <w:rPr>
          <w:rFonts w:ascii="Arial" w:hAnsi="Arial" w:cs="Arial"/>
        </w:rPr>
        <w:t>,</w:t>
      </w:r>
      <w:r w:rsidRPr="0011316D">
        <w:rPr>
          <w:rFonts w:ascii="Arial" w:hAnsi="Arial" w:cs="Arial"/>
        </w:rPr>
        <w:t xml:space="preserve"> </w:t>
      </w:r>
      <w:r w:rsidR="00DF6E37">
        <w:rPr>
          <w:rFonts w:ascii="Arial" w:hAnsi="Arial" w:cs="Arial"/>
        </w:rPr>
        <w:t xml:space="preserve">potentially </w:t>
      </w:r>
      <w:r w:rsidRPr="0011316D">
        <w:rPr>
          <w:rFonts w:ascii="Arial" w:hAnsi="Arial" w:cs="Arial"/>
        </w:rPr>
        <w:t>triggered by personal experience</w:t>
      </w:r>
      <w:r w:rsidR="00DF6E37">
        <w:rPr>
          <w:rFonts w:ascii="Arial" w:hAnsi="Arial" w:cs="Arial"/>
        </w:rPr>
        <w:t>s</w:t>
      </w:r>
      <w:r w:rsidRPr="0011316D">
        <w:rPr>
          <w:rFonts w:ascii="Arial" w:hAnsi="Arial" w:cs="Arial"/>
        </w:rPr>
        <w:t xml:space="preserve"> of racism or discrimination or aspects of Government policy.</w:t>
      </w:r>
    </w:p>
    <w:p w:rsidR="00C97725" w:rsidRPr="0011316D" w:rsidRDefault="00C97725" w:rsidP="00A9043C">
      <w:pPr>
        <w:pStyle w:val="ListParagraph"/>
        <w:numPr>
          <w:ilvl w:val="0"/>
          <w:numId w:val="5"/>
        </w:numPr>
        <w:jc w:val="both"/>
        <w:rPr>
          <w:rFonts w:ascii="Arial" w:hAnsi="Arial" w:cs="Arial"/>
        </w:rPr>
      </w:pPr>
      <w:r w:rsidRPr="0011316D">
        <w:rPr>
          <w:rFonts w:ascii="Arial" w:hAnsi="Arial" w:cs="Arial"/>
          <w:b/>
        </w:rPr>
        <w:lastRenderedPageBreak/>
        <w:t>Criminality</w:t>
      </w:r>
      <w:r w:rsidRPr="0011316D">
        <w:rPr>
          <w:rFonts w:ascii="Arial" w:hAnsi="Arial" w:cs="Arial"/>
        </w:rPr>
        <w:t xml:space="preserve"> – experiences of imprisonment and poor reintegration into society. </w:t>
      </w:r>
      <w:r w:rsidR="00DF6E37">
        <w:rPr>
          <w:rFonts w:ascii="Arial" w:hAnsi="Arial" w:cs="Arial"/>
        </w:rPr>
        <w:t>Individuals</w:t>
      </w:r>
      <w:r w:rsidRPr="0011316D">
        <w:rPr>
          <w:rFonts w:ascii="Arial" w:hAnsi="Arial" w:cs="Arial"/>
        </w:rPr>
        <w:t xml:space="preserve"> may have previous involvement with criminal groups which they find difficult to </w:t>
      </w:r>
      <w:r w:rsidR="00DF6E37">
        <w:rPr>
          <w:rFonts w:ascii="Arial" w:hAnsi="Arial" w:cs="Arial"/>
        </w:rPr>
        <w:t>disassociate from.</w:t>
      </w:r>
    </w:p>
    <w:p w:rsidR="00603AD3" w:rsidRDefault="00603AD3" w:rsidP="00A9043C">
      <w:pPr>
        <w:pStyle w:val="ListParagraph"/>
        <w:jc w:val="both"/>
        <w:rPr>
          <w:rFonts w:ascii="Arial" w:hAnsi="Arial" w:cs="Arial"/>
        </w:rPr>
      </w:pPr>
    </w:p>
    <w:p w:rsidR="00F73E23" w:rsidRPr="0011316D" w:rsidRDefault="00F73E23" w:rsidP="00A9043C">
      <w:pPr>
        <w:pStyle w:val="ListParagraph"/>
        <w:jc w:val="both"/>
        <w:rPr>
          <w:rFonts w:ascii="Arial" w:hAnsi="Arial" w:cs="Arial"/>
        </w:rPr>
      </w:pPr>
    </w:p>
    <w:p w:rsidR="00F73E23" w:rsidRDefault="00603AD3" w:rsidP="00A9043C">
      <w:pPr>
        <w:jc w:val="both"/>
        <w:rPr>
          <w:rFonts w:ascii="Arial" w:hAnsi="Arial" w:cs="Arial"/>
        </w:rPr>
      </w:pPr>
      <w:r w:rsidRPr="0011316D">
        <w:rPr>
          <w:rFonts w:ascii="Arial" w:hAnsi="Arial" w:cs="Arial"/>
        </w:rPr>
        <w:t xml:space="preserve">Whilst individuals who display these indicators </w:t>
      </w:r>
      <w:r w:rsidR="007233BE" w:rsidRPr="0011316D">
        <w:rPr>
          <w:rFonts w:ascii="Arial" w:hAnsi="Arial" w:cs="Arial"/>
        </w:rPr>
        <w:t>might</w:t>
      </w:r>
      <w:r w:rsidRPr="0011316D">
        <w:rPr>
          <w:rFonts w:ascii="Arial" w:hAnsi="Arial" w:cs="Arial"/>
        </w:rPr>
        <w:t xml:space="preserve"> be vulnerable to radicalisation, such display does not automatically imply </w:t>
      </w:r>
      <w:r w:rsidR="007233BE" w:rsidRPr="0011316D">
        <w:rPr>
          <w:rFonts w:ascii="Arial" w:hAnsi="Arial" w:cs="Arial"/>
        </w:rPr>
        <w:t xml:space="preserve">that they </w:t>
      </w:r>
      <w:r w:rsidR="00F73E23">
        <w:rPr>
          <w:rFonts w:ascii="Arial" w:hAnsi="Arial" w:cs="Arial"/>
        </w:rPr>
        <w:t>will follow this route</w:t>
      </w:r>
      <w:r w:rsidR="007233BE" w:rsidRPr="0011316D">
        <w:rPr>
          <w:rFonts w:ascii="Arial" w:hAnsi="Arial" w:cs="Arial"/>
        </w:rPr>
        <w:t>. Other indicators, taken in isolation</w:t>
      </w:r>
      <w:r w:rsidR="00F73E23">
        <w:rPr>
          <w:rFonts w:ascii="Arial" w:hAnsi="Arial" w:cs="Arial"/>
        </w:rPr>
        <w:t>,</w:t>
      </w:r>
      <w:r w:rsidR="007233BE" w:rsidRPr="0011316D">
        <w:rPr>
          <w:rFonts w:ascii="Arial" w:hAnsi="Arial" w:cs="Arial"/>
        </w:rPr>
        <w:t xml:space="preserve"> or in conjunction with those set out above</w:t>
      </w:r>
      <w:r w:rsidR="00F73E23">
        <w:rPr>
          <w:rFonts w:ascii="Arial" w:hAnsi="Arial" w:cs="Arial"/>
        </w:rPr>
        <w:t>,</w:t>
      </w:r>
      <w:r w:rsidR="007233BE" w:rsidRPr="0011316D">
        <w:rPr>
          <w:rFonts w:ascii="Arial" w:hAnsi="Arial" w:cs="Arial"/>
        </w:rPr>
        <w:t xml:space="preserve"> can further help to clarify risk. </w:t>
      </w:r>
    </w:p>
    <w:p w:rsidR="00F73E23" w:rsidRDefault="00F73E23" w:rsidP="00A9043C">
      <w:pPr>
        <w:jc w:val="both"/>
        <w:rPr>
          <w:rFonts w:ascii="Arial" w:hAnsi="Arial" w:cs="Arial"/>
        </w:rPr>
      </w:pPr>
    </w:p>
    <w:p w:rsidR="0063687F" w:rsidRDefault="0063687F" w:rsidP="00A9043C">
      <w:pPr>
        <w:jc w:val="both"/>
        <w:rPr>
          <w:rFonts w:ascii="Arial" w:hAnsi="Arial" w:cs="Arial"/>
        </w:rPr>
      </w:pPr>
    </w:p>
    <w:p w:rsidR="00603AD3" w:rsidRPr="0011316D" w:rsidRDefault="007233BE" w:rsidP="00A9043C">
      <w:pPr>
        <w:jc w:val="both"/>
        <w:rPr>
          <w:rFonts w:ascii="Arial" w:hAnsi="Arial" w:cs="Arial"/>
        </w:rPr>
      </w:pPr>
      <w:r w:rsidRPr="0011316D">
        <w:rPr>
          <w:rFonts w:ascii="Arial" w:hAnsi="Arial" w:cs="Arial"/>
        </w:rPr>
        <w:t>These are:</w:t>
      </w:r>
    </w:p>
    <w:p w:rsidR="007233BE" w:rsidRPr="0011316D" w:rsidRDefault="007233BE" w:rsidP="00A9043C">
      <w:pPr>
        <w:jc w:val="both"/>
        <w:rPr>
          <w:rFonts w:ascii="Arial" w:hAnsi="Arial" w:cs="Arial"/>
        </w:rPr>
      </w:pP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being in contact with extremist groups</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openly supporting violent extremist causes or leaders of extremist groups</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accessing websites with a violent extremist nature</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possessing violent extremist literature</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justifying the use of violence to resolve societal issues and using extremist narratives</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joining extremist organisations</w:t>
      </w:r>
      <w:r w:rsidR="002D17F5" w:rsidRPr="0011316D">
        <w:rPr>
          <w:rStyle w:val="FootnoteReference"/>
          <w:rFonts w:ascii="Arial" w:hAnsi="Arial" w:cs="Arial"/>
        </w:rPr>
        <w:footnoteReference w:id="6"/>
      </w:r>
    </w:p>
    <w:p w:rsidR="00430E5C" w:rsidRPr="0011316D" w:rsidRDefault="00430E5C" w:rsidP="00A9043C">
      <w:pPr>
        <w:jc w:val="both"/>
        <w:rPr>
          <w:rFonts w:ascii="Arial" w:hAnsi="Arial" w:cs="Arial"/>
        </w:rPr>
      </w:pPr>
    </w:p>
    <w:p w:rsidR="002D6941" w:rsidRDefault="002D6941" w:rsidP="00A9043C">
      <w:pPr>
        <w:jc w:val="both"/>
        <w:rPr>
          <w:rFonts w:ascii="Arial" w:hAnsi="Arial" w:cs="Arial"/>
          <w:sz w:val="32"/>
          <w:szCs w:val="32"/>
        </w:rPr>
      </w:pPr>
    </w:p>
    <w:p w:rsidR="00CE17D0" w:rsidRPr="00CE17D0" w:rsidRDefault="00CE17D0" w:rsidP="00CE17D0">
      <w:pPr>
        <w:spacing w:line="276" w:lineRule="auto"/>
        <w:jc w:val="both"/>
        <w:rPr>
          <w:rFonts w:ascii="Arial" w:hAnsi="Arial" w:cs="Arial"/>
          <w:b/>
          <w:color w:val="000000"/>
          <w:sz w:val="32"/>
          <w:szCs w:val="32"/>
        </w:rPr>
      </w:pPr>
      <w:r>
        <w:rPr>
          <w:rFonts w:ascii="Arial" w:hAnsi="Arial" w:cs="Arial"/>
          <w:b/>
          <w:color w:val="000000"/>
          <w:sz w:val="32"/>
          <w:szCs w:val="32"/>
        </w:rPr>
        <w:t>Vulnerability I</w:t>
      </w:r>
      <w:r w:rsidRPr="00CE17D0">
        <w:rPr>
          <w:rFonts w:ascii="Arial" w:hAnsi="Arial" w:cs="Arial"/>
          <w:b/>
          <w:color w:val="000000"/>
          <w:sz w:val="32"/>
          <w:szCs w:val="32"/>
        </w:rPr>
        <w:t>ndicators</w:t>
      </w:r>
    </w:p>
    <w:p w:rsidR="00CE17D0" w:rsidRPr="00CE17D0" w:rsidRDefault="00CE17D0" w:rsidP="00CE17D0">
      <w:pPr>
        <w:spacing w:line="276" w:lineRule="auto"/>
        <w:jc w:val="both"/>
        <w:rPr>
          <w:rFonts w:ascii="Arial" w:hAnsi="Arial" w:cs="Arial"/>
          <w:color w:val="000000"/>
        </w:rPr>
      </w:pPr>
    </w:p>
    <w:p w:rsidR="00CE17D0" w:rsidRDefault="00CE17D0" w:rsidP="00CE17D0">
      <w:pPr>
        <w:spacing w:line="276" w:lineRule="auto"/>
        <w:jc w:val="both"/>
        <w:rPr>
          <w:rFonts w:ascii="Arial" w:hAnsi="Arial" w:cs="Arial"/>
          <w:color w:val="000000"/>
        </w:rPr>
      </w:pPr>
      <w:r>
        <w:rPr>
          <w:rFonts w:ascii="Arial" w:hAnsi="Arial" w:cs="Arial"/>
          <w:color w:val="000000"/>
        </w:rPr>
        <w:t xml:space="preserve">The </w:t>
      </w:r>
      <w:r w:rsidRPr="00CE17D0">
        <w:rPr>
          <w:rFonts w:ascii="Arial" w:hAnsi="Arial" w:cs="Arial"/>
          <w:color w:val="000000"/>
        </w:rPr>
        <w:t xml:space="preserve">Channel </w:t>
      </w:r>
      <w:r>
        <w:rPr>
          <w:rFonts w:ascii="Arial" w:hAnsi="Arial" w:cs="Arial"/>
          <w:color w:val="000000"/>
        </w:rPr>
        <w:t xml:space="preserve">process </w:t>
      </w:r>
      <w:r w:rsidRPr="00CE17D0">
        <w:rPr>
          <w:rFonts w:ascii="Arial" w:hAnsi="Arial" w:cs="Arial"/>
          <w:color w:val="000000"/>
        </w:rPr>
        <w:t>assesses vulnerability using a consistently applied assessment framework</w:t>
      </w:r>
      <w:r>
        <w:rPr>
          <w:rFonts w:ascii="Arial" w:hAnsi="Arial" w:cs="Arial"/>
          <w:color w:val="000000"/>
        </w:rPr>
        <w:t>,</w:t>
      </w:r>
      <w:r w:rsidRPr="00CE17D0">
        <w:rPr>
          <w:rFonts w:ascii="Arial" w:hAnsi="Arial" w:cs="Arial"/>
          <w:color w:val="000000"/>
        </w:rPr>
        <w:t xml:space="preserve"> built around three dimensions. The three dimensions are:</w:t>
      </w:r>
    </w:p>
    <w:p w:rsidR="00CE17D0" w:rsidRDefault="00CE17D0" w:rsidP="00CE17D0">
      <w:pPr>
        <w:spacing w:line="276" w:lineRule="auto"/>
        <w:jc w:val="both"/>
        <w:rPr>
          <w:rFonts w:ascii="Arial" w:hAnsi="Arial" w:cs="Arial"/>
          <w:color w:val="000000"/>
        </w:rPr>
      </w:pPr>
    </w:p>
    <w:p w:rsidR="00533D8E" w:rsidRPr="00533D8E" w:rsidRDefault="00CE17D0" w:rsidP="00533D8E">
      <w:pPr>
        <w:pStyle w:val="ListParagraph"/>
        <w:numPr>
          <w:ilvl w:val="0"/>
          <w:numId w:val="9"/>
        </w:numPr>
        <w:spacing w:line="276" w:lineRule="auto"/>
        <w:jc w:val="both"/>
        <w:rPr>
          <w:rFonts w:ascii="Arial" w:hAnsi="Arial" w:cs="Arial"/>
          <w:color w:val="000000"/>
        </w:rPr>
      </w:pPr>
      <w:r w:rsidRPr="00533D8E">
        <w:rPr>
          <w:rFonts w:ascii="Arial" w:hAnsi="Arial" w:cs="Arial"/>
          <w:color w:val="000000"/>
        </w:rPr>
        <w:t>Engagement with a group, cause or ideology;</w:t>
      </w:r>
    </w:p>
    <w:p w:rsidR="00533D8E" w:rsidRPr="00533D8E" w:rsidRDefault="00CE17D0" w:rsidP="00533D8E">
      <w:pPr>
        <w:pStyle w:val="ListParagraph"/>
        <w:numPr>
          <w:ilvl w:val="0"/>
          <w:numId w:val="9"/>
        </w:numPr>
        <w:spacing w:line="276" w:lineRule="auto"/>
        <w:jc w:val="both"/>
        <w:rPr>
          <w:rFonts w:ascii="Arial" w:hAnsi="Arial" w:cs="Arial"/>
          <w:color w:val="000000"/>
        </w:rPr>
      </w:pPr>
      <w:r w:rsidRPr="00533D8E">
        <w:rPr>
          <w:rFonts w:ascii="Arial" w:hAnsi="Arial" w:cs="Arial"/>
          <w:color w:val="000000"/>
        </w:rPr>
        <w:t xml:space="preserve">Intent to cause harm; </w:t>
      </w:r>
    </w:p>
    <w:p w:rsidR="00533D8E" w:rsidRPr="00533D8E" w:rsidRDefault="00CE17D0" w:rsidP="00533D8E">
      <w:pPr>
        <w:pStyle w:val="ListParagraph"/>
        <w:numPr>
          <w:ilvl w:val="0"/>
          <w:numId w:val="9"/>
        </w:numPr>
        <w:spacing w:line="276" w:lineRule="auto"/>
        <w:jc w:val="both"/>
        <w:rPr>
          <w:rFonts w:ascii="Arial" w:hAnsi="Arial" w:cs="Arial"/>
          <w:color w:val="000000"/>
        </w:rPr>
      </w:pPr>
      <w:r w:rsidRPr="00533D8E">
        <w:rPr>
          <w:rFonts w:ascii="Arial" w:hAnsi="Arial" w:cs="Arial"/>
          <w:color w:val="000000"/>
        </w:rPr>
        <w:t>Capability to cause harm.</w:t>
      </w:r>
    </w:p>
    <w:p w:rsidR="00533D8E" w:rsidRDefault="00533D8E" w:rsidP="00CE17D0">
      <w:pPr>
        <w:spacing w:line="276" w:lineRule="auto"/>
        <w:jc w:val="both"/>
        <w:rPr>
          <w:rFonts w:ascii="Arial" w:hAnsi="Arial" w:cs="Arial"/>
          <w:color w:val="000000"/>
        </w:rPr>
      </w:pPr>
    </w:p>
    <w:p w:rsidR="00BA4DFF" w:rsidRDefault="00CE17D0" w:rsidP="00CE17D0">
      <w:pPr>
        <w:spacing w:line="276" w:lineRule="auto"/>
        <w:jc w:val="both"/>
        <w:rPr>
          <w:rFonts w:ascii="Arial" w:hAnsi="Arial" w:cs="Arial"/>
          <w:color w:val="000000"/>
        </w:rPr>
      </w:pPr>
      <w:r w:rsidRPr="00CE17D0">
        <w:rPr>
          <w:rFonts w:ascii="Arial" w:hAnsi="Arial" w:cs="Arial"/>
          <w:color w:val="000000"/>
        </w:rPr>
        <w:t xml:space="preserve">The dimensions are considered separately as experience has shown that it is possible to be engaged without intending to cause harm and that it is possible to intend to cause harm without being particularly engaged. </w:t>
      </w:r>
      <w:r w:rsidR="00BA4DFF">
        <w:rPr>
          <w:rFonts w:ascii="Arial" w:hAnsi="Arial" w:cs="Arial"/>
          <w:color w:val="000000"/>
        </w:rPr>
        <w:t xml:space="preserve">  </w:t>
      </w:r>
      <w:r w:rsidRPr="00CE17D0">
        <w:rPr>
          <w:rFonts w:ascii="Arial" w:hAnsi="Arial" w:cs="Arial"/>
          <w:color w:val="000000"/>
        </w:rPr>
        <w:t>Experience has also shown that it is possible to desist (stop intending to cause harm) without fully disengaging (remaining sympathetic to the cause); though losing sympathy with the cause (disengaging) will invariably result in desistance (loss of intent).</w:t>
      </w:r>
    </w:p>
    <w:p w:rsidR="00BA4DFF" w:rsidRDefault="00BA4DFF" w:rsidP="00CE17D0">
      <w:pPr>
        <w:spacing w:line="276" w:lineRule="auto"/>
        <w:jc w:val="both"/>
        <w:rPr>
          <w:rFonts w:ascii="Arial" w:hAnsi="Arial" w:cs="Arial"/>
          <w:color w:val="000000"/>
        </w:rPr>
      </w:pPr>
    </w:p>
    <w:p w:rsidR="00CE17D0" w:rsidRDefault="00BA4DFF" w:rsidP="00CE17D0">
      <w:pPr>
        <w:spacing w:line="276" w:lineRule="auto"/>
        <w:jc w:val="both"/>
        <w:rPr>
          <w:rFonts w:ascii="Arial" w:hAnsi="Arial" w:cs="Arial"/>
        </w:rPr>
      </w:pPr>
      <w:r w:rsidRPr="00BA4DFF">
        <w:rPr>
          <w:rFonts w:ascii="Arial" w:hAnsi="Arial" w:cs="Arial"/>
        </w:rPr>
        <w:t xml:space="preserve">The three dimensions are assessed by considering 22 factors that can contribute to vulnerability (13 associated with engagement, 6 that relate to intent and 3 for capability). These factors taken together form a rounded view of the vulnerability of an individual that will inform decisions on whether </w:t>
      </w:r>
      <w:r w:rsidR="0041463C">
        <w:rPr>
          <w:rFonts w:ascii="Arial" w:hAnsi="Arial" w:cs="Arial"/>
        </w:rPr>
        <w:t>they need</w:t>
      </w:r>
      <w:r w:rsidRPr="00BA4DFF">
        <w:rPr>
          <w:rFonts w:ascii="Arial" w:hAnsi="Arial" w:cs="Arial"/>
        </w:rPr>
        <w:t xml:space="preserve"> support and what kind of support package may be appropriate. These factors can also be added to and are not considered an exhaustive list. </w:t>
      </w:r>
      <w:r w:rsidR="0041463C">
        <w:rPr>
          <w:rFonts w:ascii="Arial" w:hAnsi="Arial" w:cs="Arial"/>
        </w:rPr>
        <w:t xml:space="preserve"> </w:t>
      </w:r>
      <w:r w:rsidRPr="00BA4DFF">
        <w:rPr>
          <w:rFonts w:ascii="Arial" w:hAnsi="Arial" w:cs="Arial"/>
        </w:rPr>
        <w:t>By undertaking regular vulnerability assessments</w:t>
      </w:r>
      <w:r w:rsidR="0041463C">
        <w:rPr>
          <w:rFonts w:ascii="Arial" w:hAnsi="Arial" w:cs="Arial"/>
        </w:rPr>
        <w:t>,</w:t>
      </w:r>
      <w:r w:rsidRPr="00BA4DFF">
        <w:rPr>
          <w:rFonts w:ascii="Arial" w:hAnsi="Arial" w:cs="Arial"/>
        </w:rPr>
        <w:t xml:space="preserve"> the progress that is being made in supporting an individual can be tracked through changes in the assessment.</w:t>
      </w:r>
    </w:p>
    <w:p w:rsidR="00265985" w:rsidRPr="0011316D" w:rsidRDefault="00265985" w:rsidP="00265985">
      <w:pPr>
        <w:pStyle w:val="ListParagraph"/>
        <w:jc w:val="both"/>
        <w:rPr>
          <w:rFonts w:ascii="Arial" w:hAnsi="Arial" w:cs="Arial"/>
        </w:rPr>
      </w:pPr>
    </w:p>
    <w:p w:rsidR="00265985" w:rsidRPr="0011316D" w:rsidRDefault="00265985" w:rsidP="00265985">
      <w:pPr>
        <w:jc w:val="both"/>
        <w:rPr>
          <w:rFonts w:ascii="Arial" w:hAnsi="Arial" w:cs="Arial"/>
          <w:b/>
          <w:sz w:val="32"/>
          <w:szCs w:val="32"/>
        </w:rPr>
      </w:pPr>
      <w:r w:rsidRPr="0011316D">
        <w:rPr>
          <w:rFonts w:ascii="Arial" w:hAnsi="Arial" w:cs="Arial"/>
          <w:b/>
          <w:sz w:val="32"/>
          <w:szCs w:val="32"/>
        </w:rPr>
        <w:t>The Channel Project</w:t>
      </w:r>
    </w:p>
    <w:p w:rsidR="00265985" w:rsidRPr="0011316D" w:rsidRDefault="00265985" w:rsidP="00265985">
      <w:pPr>
        <w:jc w:val="both"/>
        <w:rPr>
          <w:rFonts w:ascii="Arial" w:hAnsi="Arial" w:cs="Arial"/>
        </w:rPr>
      </w:pPr>
    </w:p>
    <w:p w:rsidR="00265985" w:rsidRPr="0011316D" w:rsidRDefault="00265985" w:rsidP="00265985">
      <w:pPr>
        <w:jc w:val="both"/>
        <w:rPr>
          <w:rFonts w:ascii="Arial" w:hAnsi="Arial" w:cs="Arial"/>
        </w:rPr>
      </w:pPr>
      <w:r>
        <w:rPr>
          <w:rFonts w:ascii="Arial" w:hAnsi="Arial" w:cs="Arial"/>
        </w:rPr>
        <w:t>In October 2012 the Government published “Channel: Protecting vulnerable people from being drawn into terrorism – a guide for local partnerships” which set out advice for local partnerships on how to deliver Channel projects.   The role of this multi-agency panel is to develop appropriate support packages to safeguard those at risk of being drawn into terrorism based upon an assessment of their vulnerability.  The panel should be chaired by the Local Authority and include the Channel Police practitioner and other relevant statutory partners.</w:t>
      </w:r>
      <w:r w:rsidR="00905D53">
        <w:rPr>
          <w:rFonts w:ascii="Arial" w:hAnsi="Arial" w:cs="Arial"/>
        </w:rPr>
        <w:t xml:space="preserve">  </w:t>
      </w:r>
    </w:p>
    <w:p w:rsidR="00265985" w:rsidRDefault="00265985" w:rsidP="00265985">
      <w:pPr>
        <w:jc w:val="both"/>
        <w:rPr>
          <w:rFonts w:ascii="Arial" w:hAnsi="Arial" w:cs="Arial"/>
        </w:rPr>
      </w:pPr>
    </w:p>
    <w:p w:rsidR="00265985" w:rsidRPr="0011316D" w:rsidRDefault="00265985" w:rsidP="00265985">
      <w:pPr>
        <w:jc w:val="both"/>
        <w:rPr>
          <w:rFonts w:ascii="Arial" w:hAnsi="Arial" w:cs="Arial"/>
        </w:rPr>
      </w:pPr>
      <w:r w:rsidRPr="0011316D">
        <w:rPr>
          <w:rFonts w:ascii="Arial" w:hAnsi="Arial" w:cs="Arial"/>
        </w:rPr>
        <w:t>Channel is a government supported initiative which aims to stop people becoming terrorists or supporting terrorism through an integrated multi agency approach. It is a process that relies on close collaboration between police, partners and other key stakeholders</w:t>
      </w:r>
      <w:r>
        <w:rPr>
          <w:rFonts w:ascii="Arial" w:hAnsi="Arial" w:cs="Arial"/>
        </w:rPr>
        <w:t>,</w:t>
      </w:r>
      <w:r w:rsidRPr="0011316D">
        <w:rPr>
          <w:rFonts w:ascii="Arial" w:hAnsi="Arial" w:cs="Arial"/>
        </w:rPr>
        <w:t xml:space="preserve"> providing a mechanism for evaluating referred individuals who are perceived to be at risk of being drawn in to terrorism.  </w:t>
      </w:r>
      <w:r>
        <w:rPr>
          <w:rFonts w:ascii="Arial" w:hAnsi="Arial" w:cs="Arial"/>
        </w:rPr>
        <w:t>Channel operates in the pre-</w:t>
      </w:r>
      <w:r w:rsidRPr="0011316D">
        <w:rPr>
          <w:rFonts w:ascii="Arial" w:hAnsi="Arial" w:cs="Arial"/>
        </w:rPr>
        <w:t>criminal space and aims to support vulnerable individuals</w:t>
      </w:r>
      <w:r>
        <w:rPr>
          <w:rFonts w:ascii="Arial" w:hAnsi="Arial" w:cs="Arial"/>
        </w:rPr>
        <w:t>,</w:t>
      </w:r>
      <w:r w:rsidRPr="0011316D">
        <w:rPr>
          <w:rFonts w:ascii="Arial" w:hAnsi="Arial" w:cs="Arial"/>
        </w:rPr>
        <w:t xml:space="preserve"> through targeted intervention relevant to the indi</w:t>
      </w:r>
      <w:r>
        <w:rPr>
          <w:rFonts w:ascii="Arial" w:hAnsi="Arial" w:cs="Arial"/>
        </w:rPr>
        <w:t>vidual’s vulnerability and risk, to prevent them from committing criminal acts.</w:t>
      </w:r>
    </w:p>
    <w:p w:rsidR="00265985" w:rsidRPr="0011316D" w:rsidRDefault="00265985" w:rsidP="00265985">
      <w:pPr>
        <w:jc w:val="both"/>
        <w:rPr>
          <w:rFonts w:ascii="Arial" w:hAnsi="Arial" w:cs="Arial"/>
        </w:rPr>
      </w:pPr>
    </w:p>
    <w:p w:rsidR="00265985" w:rsidRPr="0011316D" w:rsidRDefault="00265985" w:rsidP="00265985">
      <w:pPr>
        <w:jc w:val="both"/>
        <w:rPr>
          <w:rFonts w:ascii="Arial" w:hAnsi="Arial" w:cs="Arial"/>
        </w:rPr>
      </w:pPr>
      <w:r w:rsidRPr="0011316D">
        <w:rPr>
          <w:rFonts w:ascii="Arial" w:hAnsi="Arial" w:cs="Arial"/>
        </w:rPr>
        <w:t xml:space="preserve">Channel began as a Home Office pilot back in 2007 in two police forces; prior to the Prevent strategy being fully developed. </w:t>
      </w:r>
      <w:r w:rsidR="00035ED8">
        <w:rPr>
          <w:rFonts w:ascii="Arial" w:hAnsi="Arial" w:cs="Arial"/>
        </w:rPr>
        <w:t>Channel now operates in every Local Authority in England and Wales</w:t>
      </w:r>
      <w:r w:rsidRPr="0011316D">
        <w:rPr>
          <w:rFonts w:ascii="Arial" w:hAnsi="Arial" w:cs="Arial"/>
        </w:rPr>
        <w:t>.</w:t>
      </w:r>
      <w:r>
        <w:rPr>
          <w:rFonts w:ascii="Arial" w:hAnsi="Arial" w:cs="Arial"/>
        </w:rPr>
        <w:t xml:space="preserve"> Since the inception of Channel, p</w:t>
      </w:r>
      <w:r w:rsidRPr="0011316D">
        <w:rPr>
          <w:rFonts w:ascii="Arial" w:hAnsi="Arial" w:cs="Arial"/>
        </w:rPr>
        <w:t>olicy and strategy has developed and evolved, resulting in the publication of the National Channel guidance for local partnerships in March 2010.</w:t>
      </w:r>
    </w:p>
    <w:p w:rsidR="00035ED8" w:rsidRDefault="00035ED8" w:rsidP="00265985">
      <w:pPr>
        <w:jc w:val="both"/>
        <w:rPr>
          <w:rFonts w:ascii="Arial" w:hAnsi="Arial" w:cs="Arial"/>
        </w:rPr>
      </w:pPr>
    </w:p>
    <w:p w:rsidR="00265985" w:rsidRPr="00265985" w:rsidRDefault="00265985" w:rsidP="00265985">
      <w:pPr>
        <w:jc w:val="both"/>
        <w:rPr>
          <w:rFonts w:ascii="Arial" w:hAnsi="Arial" w:cs="Arial"/>
          <w:b/>
          <w:sz w:val="32"/>
          <w:szCs w:val="32"/>
        </w:rPr>
      </w:pPr>
      <w:r w:rsidRPr="0011316D">
        <w:rPr>
          <w:rFonts w:ascii="Arial" w:hAnsi="Arial" w:cs="Arial"/>
        </w:rPr>
        <w:br/>
      </w:r>
      <w:r w:rsidR="00870DE1">
        <w:rPr>
          <w:rFonts w:ascii="Arial" w:hAnsi="Arial" w:cs="Arial"/>
          <w:b/>
          <w:sz w:val="32"/>
          <w:szCs w:val="32"/>
        </w:rPr>
        <w:t xml:space="preserve">The Reporting </w:t>
      </w:r>
      <w:r w:rsidRPr="00265985">
        <w:rPr>
          <w:rFonts w:ascii="Arial" w:hAnsi="Arial" w:cs="Arial"/>
          <w:b/>
          <w:sz w:val="32"/>
          <w:szCs w:val="32"/>
        </w:rPr>
        <w:t>Process</w:t>
      </w:r>
    </w:p>
    <w:p w:rsidR="00265985" w:rsidRDefault="00265985" w:rsidP="00265985">
      <w:pPr>
        <w:jc w:val="both"/>
        <w:rPr>
          <w:rFonts w:ascii="Arial" w:hAnsi="Arial" w:cs="Arial"/>
        </w:rPr>
      </w:pPr>
    </w:p>
    <w:p w:rsidR="00035ED8" w:rsidRPr="00035ED8" w:rsidRDefault="00035ED8" w:rsidP="00035ED8">
      <w:pPr>
        <w:numPr>
          <w:ilvl w:val="0"/>
          <w:numId w:val="17"/>
        </w:numPr>
        <w:ind w:left="426" w:hanging="426"/>
        <w:contextualSpacing/>
        <w:jc w:val="both"/>
        <w:rPr>
          <w:rFonts w:ascii="Arial" w:hAnsi="Arial" w:cs="Arial"/>
        </w:rPr>
      </w:pPr>
      <w:r w:rsidRPr="00035ED8">
        <w:rPr>
          <w:rFonts w:ascii="Arial" w:hAnsi="Arial" w:cs="Arial"/>
        </w:rPr>
        <w:t xml:space="preserve">If a volunteer, member of staff or professional from a partner or non-partner agency has concerns that an individual may be vulnerable to the messages of violent extremism, that person should discuss those concerns with the Police Prevent Team in the first instance.  </w:t>
      </w:r>
      <w:r w:rsidRPr="00035ED8">
        <w:rPr>
          <w:rFonts w:ascii="Arial" w:hAnsi="Arial" w:cs="Arial"/>
          <w:b/>
        </w:rPr>
        <w:t xml:space="preserve">All contact details for this Team are attached within the Key Contacts section below.  </w:t>
      </w:r>
    </w:p>
    <w:p w:rsidR="00035ED8" w:rsidRPr="00035ED8" w:rsidRDefault="00035ED8" w:rsidP="00035ED8">
      <w:pPr>
        <w:ind w:left="426" w:hanging="426"/>
        <w:jc w:val="both"/>
        <w:rPr>
          <w:rFonts w:ascii="Arial" w:hAnsi="Arial" w:cs="Arial"/>
        </w:rPr>
      </w:pPr>
    </w:p>
    <w:p w:rsidR="00035ED8" w:rsidRPr="00035ED8" w:rsidRDefault="00035ED8" w:rsidP="00035ED8">
      <w:pPr>
        <w:numPr>
          <w:ilvl w:val="0"/>
          <w:numId w:val="17"/>
        </w:numPr>
        <w:ind w:left="426" w:hanging="426"/>
        <w:contextualSpacing/>
        <w:jc w:val="both"/>
        <w:rPr>
          <w:rFonts w:ascii="Arial" w:hAnsi="Arial" w:cs="Arial"/>
        </w:rPr>
      </w:pPr>
      <w:r w:rsidRPr="00035ED8">
        <w:rPr>
          <w:rFonts w:ascii="Arial" w:hAnsi="Arial" w:cs="Arial"/>
        </w:rPr>
        <w:t>Upon receipt of the information, the South Yorkshire Police designated Prevent officer will:</w:t>
      </w:r>
    </w:p>
    <w:p w:rsidR="00035ED8" w:rsidRPr="00035ED8" w:rsidRDefault="00035ED8" w:rsidP="00035ED8">
      <w:pPr>
        <w:ind w:left="720"/>
        <w:contextualSpacing/>
        <w:rPr>
          <w:rFonts w:ascii="Arial" w:hAnsi="Arial" w:cs="Arial"/>
        </w:rPr>
      </w:pPr>
    </w:p>
    <w:p w:rsidR="00035ED8" w:rsidRPr="00035ED8" w:rsidRDefault="00035ED8" w:rsidP="00035ED8">
      <w:pPr>
        <w:numPr>
          <w:ilvl w:val="0"/>
          <w:numId w:val="11"/>
        </w:numPr>
        <w:ind w:left="709" w:hanging="283"/>
        <w:contextualSpacing/>
        <w:jc w:val="both"/>
        <w:rPr>
          <w:rFonts w:ascii="Arial" w:hAnsi="Arial" w:cs="Arial"/>
        </w:rPr>
      </w:pPr>
      <w:r w:rsidRPr="00035ED8">
        <w:rPr>
          <w:rFonts w:ascii="Arial" w:hAnsi="Arial" w:cs="Arial"/>
        </w:rPr>
        <w:t>Liaise with designated Senior Prevent Officers, Police Channel Practitioners and Prevent Officers from other relevant agencies, as required.</w:t>
      </w:r>
    </w:p>
    <w:p w:rsidR="00035ED8" w:rsidRPr="00035ED8" w:rsidRDefault="00035ED8" w:rsidP="00035ED8">
      <w:pPr>
        <w:numPr>
          <w:ilvl w:val="0"/>
          <w:numId w:val="11"/>
        </w:numPr>
        <w:ind w:left="709" w:hanging="283"/>
        <w:contextualSpacing/>
        <w:jc w:val="both"/>
        <w:rPr>
          <w:rFonts w:ascii="Arial" w:hAnsi="Arial" w:cs="Arial"/>
        </w:rPr>
      </w:pPr>
      <w:r w:rsidRPr="00035ED8">
        <w:rPr>
          <w:rFonts w:ascii="Arial" w:hAnsi="Arial" w:cs="Arial"/>
        </w:rPr>
        <w:t>Provide advice and support for team managers and agency staff.</w:t>
      </w:r>
    </w:p>
    <w:p w:rsidR="00035ED8" w:rsidRPr="00035ED8" w:rsidRDefault="00035ED8" w:rsidP="00035ED8">
      <w:pPr>
        <w:numPr>
          <w:ilvl w:val="0"/>
          <w:numId w:val="11"/>
        </w:numPr>
        <w:ind w:left="709" w:hanging="283"/>
        <w:contextualSpacing/>
        <w:jc w:val="both"/>
        <w:rPr>
          <w:rFonts w:ascii="Arial" w:hAnsi="Arial" w:cs="Arial"/>
        </w:rPr>
      </w:pPr>
      <w:r w:rsidRPr="00035ED8">
        <w:rPr>
          <w:rFonts w:ascii="Arial" w:hAnsi="Arial" w:cs="Arial"/>
        </w:rPr>
        <w:t>Carry out a preliminary assessment to determine the appropriate course of action.</w:t>
      </w:r>
    </w:p>
    <w:p w:rsidR="00035ED8" w:rsidRPr="00035ED8" w:rsidRDefault="00035ED8" w:rsidP="00035ED8">
      <w:pPr>
        <w:ind w:left="709"/>
        <w:contextualSpacing/>
        <w:jc w:val="both"/>
        <w:rPr>
          <w:rFonts w:ascii="Arial" w:hAnsi="Arial" w:cs="Arial"/>
        </w:rPr>
      </w:pPr>
    </w:p>
    <w:p w:rsidR="00035ED8" w:rsidRPr="00035ED8" w:rsidRDefault="00035ED8" w:rsidP="00035ED8">
      <w:pPr>
        <w:numPr>
          <w:ilvl w:val="0"/>
          <w:numId w:val="17"/>
        </w:numPr>
        <w:ind w:left="426" w:hanging="426"/>
        <w:contextualSpacing/>
        <w:jc w:val="both"/>
        <w:rPr>
          <w:rFonts w:ascii="Arial" w:hAnsi="Arial" w:cs="Arial"/>
          <w:b/>
        </w:rPr>
      </w:pPr>
      <w:r w:rsidRPr="00035ED8">
        <w:rPr>
          <w:rFonts w:ascii="Arial" w:hAnsi="Arial" w:cs="Arial"/>
        </w:rPr>
        <w:t xml:space="preserve">Following the preliminary assessment and confirmation that the case is appropriate for Prevent intervention, the referral should pass to the established multi-agency panel (called the Channel Panel), which is Chaired by the Local Authority.  </w:t>
      </w:r>
    </w:p>
    <w:p w:rsidR="00035ED8" w:rsidRPr="00035ED8" w:rsidRDefault="00035ED8" w:rsidP="00035ED8">
      <w:pPr>
        <w:ind w:left="426"/>
        <w:contextualSpacing/>
        <w:jc w:val="both"/>
        <w:rPr>
          <w:rFonts w:ascii="Arial" w:hAnsi="Arial" w:cs="Arial"/>
          <w:b/>
        </w:rPr>
      </w:pPr>
    </w:p>
    <w:p w:rsidR="00035ED8" w:rsidRPr="00035ED8" w:rsidRDefault="00035ED8" w:rsidP="00035ED8">
      <w:pPr>
        <w:numPr>
          <w:ilvl w:val="0"/>
          <w:numId w:val="17"/>
        </w:numPr>
        <w:ind w:left="426" w:hanging="426"/>
        <w:contextualSpacing/>
        <w:jc w:val="both"/>
        <w:rPr>
          <w:rFonts w:ascii="Arial" w:hAnsi="Arial" w:cs="Arial"/>
        </w:rPr>
      </w:pPr>
      <w:r w:rsidRPr="00035ED8">
        <w:rPr>
          <w:rFonts w:ascii="Arial" w:hAnsi="Arial" w:cs="Arial"/>
        </w:rPr>
        <w:t>The multi-agency panel, using their professional expertise, will develop a support package. This will be based on a review of the vulnerability assessment completed by the Channel police practitioner at the preliminary assessment stage.</w:t>
      </w:r>
    </w:p>
    <w:p w:rsidR="00035ED8" w:rsidRPr="00035ED8" w:rsidRDefault="00035ED8" w:rsidP="00035ED8">
      <w:pPr>
        <w:ind w:left="426"/>
        <w:contextualSpacing/>
        <w:jc w:val="both"/>
        <w:rPr>
          <w:rFonts w:ascii="Arial" w:hAnsi="Arial" w:cs="Arial"/>
        </w:rPr>
      </w:pPr>
    </w:p>
    <w:p w:rsidR="00035ED8" w:rsidRPr="00035ED8" w:rsidRDefault="00035ED8" w:rsidP="00035ED8">
      <w:pPr>
        <w:numPr>
          <w:ilvl w:val="0"/>
          <w:numId w:val="17"/>
        </w:numPr>
        <w:ind w:left="426" w:hanging="426"/>
        <w:contextualSpacing/>
        <w:jc w:val="both"/>
        <w:rPr>
          <w:rFonts w:ascii="Arial" w:hAnsi="Arial" w:cs="Arial"/>
          <w:b/>
        </w:rPr>
      </w:pPr>
      <w:r w:rsidRPr="00035ED8">
        <w:rPr>
          <w:rFonts w:ascii="Arial" w:hAnsi="Arial" w:cs="Arial"/>
        </w:rPr>
        <w:lastRenderedPageBreak/>
        <w:t>Multi-agency panel members should consider sharing any further information for the purposes of Channel, subject to a case-by-case assessment of necessity, proportionality and lawfulness. Wherever possible, the informed consent of the individual should be obtained.</w:t>
      </w:r>
    </w:p>
    <w:p w:rsidR="00035ED8" w:rsidRPr="00035ED8" w:rsidRDefault="00035ED8" w:rsidP="00035ED8">
      <w:pPr>
        <w:ind w:left="426" w:hanging="426"/>
        <w:contextualSpacing/>
        <w:rPr>
          <w:rFonts w:ascii="Arial" w:hAnsi="Arial" w:cs="Arial"/>
        </w:rPr>
      </w:pPr>
    </w:p>
    <w:p w:rsidR="00035ED8" w:rsidRPr="00035ED8" w:rsidRDefault="00035ED8" w:rsidP="00035ED8">
      <w:pPr>
        <w:numPr>
          <w:ilvl w:val="0"/>
          <w:numId w:val="17"/>
        </w:numPr>
        <w:ind w:left="426" w:hanging="426"/>
        <w:contextualSpacing/>
        <w:jc w:val="both"/>
        <w:rPr>
          <w:rFonts w:ascii="Arial" w:hAnsi="Arial" w:cs="Arial"/>
          <w:b/>
        </w:rPr>
      </w:pPr>
      <w:r w:rsidRPr="00035ED8">
        <w:rPr>
          <w:rFonts w:ascii="Arial" w:hAnsi="Arial" w:cs="Arial"/>
        </w:rPr>
        <w:t>The panel may conclude that the individual is better suited to alternative support mechanisms or that further assessment indicates that the individual is not vulnerable to being drawn into terrorism. In such cases the Chair of the panel is responsible for confirming the recommendation and ensuring that the decision is properly recorded.</w:t>
      </w:r>
    </w:p>
    <w:p w:rsidR="00035ED8" w:rsidRPr="00035ED8" w:rsidRDefault="00035ED8" w:rsidP="00035ED8">
      <w:pPr>
        <w:ind w:left="720"/>
        <w:contextualSpacing/>
        <w:rPr>
          <w:rFonts w:ascii="Arial" w:hAnsi="Arial" w:cs="Arial"/>
        </w:rPr>
      </w:pPr>
    </w:p>
    <w:p w:rsidR="00035ED8" w:rsidRPr="00035ED8" w:rsidRDefault="00035ED8" w:rsidP="00035ED8">
      <w:pPr>
        <w:numPr>
          <w:ilvl w:val="0"/>
          <w:numId w:val="17"/>
        </w:numPr>
        <w:ind w:left="426" w:hanging="426"/>
        <w:contextualSpacing/>
        <w:jc w:val="both"/>
        <w:rPr>
          <w:rFonts w:ascii="Arial" w:hAnsi="Arial" w:cs="Arial"/>
          <w:b/>
        </w:rPr>
      </w:pPr>
      <w:r w:rsidRPr="00035ED8">
        <w:rPr>
          <w:rFonts w:ascii="Arial" w:hAnsi="Arial" w:cs="Arial"/>
        </w:rPr>
        <w:t xml:space="preserve">All cases dealt with by the multi-agency panel should be reviewed at 6 months and 12 months, from the point at which they exit the process, by senior managers. </w:t>
      </w:r>
    </w:p>
    <w:p w:rsidR="005256BE" w:rsidRDefault="005256BE" w:rsidP="00870DE1">
      <w:pPr>
        <w:ind w:left="720"/>
        <w:contextualSpacing/>
        <w:rPr>
          <w:rFonts w:ascii="Arial" w:hAnsi="Arial" w:cs="Arial"/>
        </w:rPr>
      </w:pPr>
    </w:p>
    <w:p w:rsidR="005256BE" w:rsidRPr="00870DE1" w:rsidRDefault="005256BE" w:rsidP="00870DE1">
      <w:pPr>
        <w:ind w:left="720"/>
        <w:contextualSpacing/>
        <w:rPr>
          <w:rFonts w:ascii="Arial" w:hAnsi="Arial" w:cs="Arial"/>
        </w:rPr>
      </w:pPr>
    </w:p>
    <w:p w:rsidR="005256BE" w:rsidRPr="005256BE" w:rsidRDefault="005256BE" w:rsidP="005256BE">
      <w:pPr>
        <w:pStyle w:val="ListParagraph"/>
        <w:ind w:left="0"/>
        <w:jc w:val="both"/>
        <w:rPr>
          <w:rFonts w:ascii="Arial" w:hAnsi="Arial" w:cs="Arial"/>
          <w:b/>
        </w:rPr>
      </w:pPr>
      <w:r w:rsidRPr="005256BE">
        <w:rPr>
          <w:rFonts w:ascii="Arial" w:hAnsi="Arial" w:cs="Arial"/>
          <w:b/>
        </w:rPr>
        <w:t>Key Contacts</w:t>
      </w:r>
    </w:p>
    <w:p w:rsidR="005256BE" w:rsidRDefault="005256BE" w:rsidP="001C5E24">
      <w:pPr>
        <w:ind w:left="284" w:hanging="284"/>
        <w:jc w:val="both"/>
        <w:rPr>
          <w:rFonts w:ascii="Arial" w:hAnsi="Arial" w:cs="Arial"/>
          <w:b/>
        </w:rPr>
      </w:pPr>
    </w:p>
    <w:p w:rsidR="001C5E24" w:rsidRPr="001C5E24" w:rsidRDefault="001C5E24" w:rsidP="001C5E24">
      <w:pPr>
        <w:ind w:left="284" w:hanging="284"/>
        <w:jc w:val="both"/>
        <w:rPr>
          <w:rFonts w:ascii="Arial" w:hAnsi="Arial" w:cs="Arial"/>
          <w:b/>
        </w:rPr>
      </w:pPr>
      <w:r w:rsidRPr="001C5E24">
        <w:rPr>
          <w:rFonts w:ascii="Arial" w:hAnsi="Arial" w:cs="Arial"/>
          <w:b/>
        </w:rPr>
        <w:t xml:space="preserve">South Yorkshire Police Prevent Team </w:t>
      </w:r>
    </w:p>
    <w:p w:rsidR="001C5E24" w:rsidRPr="001C5E24" w:rsidRDefault="001C5E24" w:rsidP="001C5E24">
      <w:pPr>
        <w:ind w:left="284" w:hanging="284"/>
        <w:jc w:val="both"/>
        <w:rPr>
          <w:rFonts w:ascii="Arial" w:hAnsi="Arial" w:cs="Arial"/>
          <w:bCs/>
        </w:rPr>
      </w:pPr>
      <w:r w:rsidRPr="001C5E24">
        <w:rPr>
          <w:rFonts w:ascii="Arial" w:hAnsi="Arial" w:cs="Arial"/>
          <w:bCs/>
        </w:rPr>
        <w:t xml:space="preserve">Business Hours - As below </w:t>
      </w:r>
    </w:p>
    <w:p w:rsidR="001C5E24" w:rsidRPr="001C5E24" w:rsidRDefault="001C5E24" w:rsidP="001C5E24">
      <w:pPr>
        <w:ind w:left="284" w:hanging="284"/>
        <w:jc w:val="both"/>
        <w:rPr>
          <w:rFonts w:ascii="Arial" w:hAnsi="Arial" w:cs="Arial"/>
          <w:bCs/>
        </w:rPr>
      </w:pPr>
      <w:r w:rsidRPr="001C5E24">
        <w:rPr>
          <w:rFonts w:ascii="Arial" w:hAnsi="Arial" w:cs="Arial"/>
          <w:bCs/>
        </w:rPr>
        <w:t xml:space="preserve">Out of Hours - Emergency 999 </w:t>
      </w:r>
    </w:p>
    <w:p w:rsidR="001C5E24" w:rsidRPr="001C5E24" w:rsidRDefault="001C5E24" w:rsidP="001C5E24">
      <w:pPr>
        <w:ind w:left="284" w:hanging="284"/>
        <w:jc w:val="both"/>
        <w:rPr>
          <w:rFonts w:ascii="Arial" w:hAnsi="Arial" w:cs="Arial"/>
          <w:bCs/>
        </w:rPr>
      </w:pPr>
      <w:r w:rsidRPr="001C5E24">
        <w:rPr>
          <w:rFonts w:ascii="Arial" w:hAnsi="Arial" w:cs="Arial"/>
          <w:bCs/>
        </w:rPr>
        <w:t>Out of Hours - Non-emergency 101</w:t>
      </w:r>
    </w:p>
    <w:p w:rsidR="001C5E24" w:rsidRPr="001C5E24" w:rsidRDefault="001C5E24" w:rsidP="001C5E24">
      <w:pPr>
        <w:ind w:left="284" w:hanging="284"/>
        <w:jc w:val="both"/>
        <w:rPr>
          <w:rFonts w:ascii="Arial" w:hAnsi="Arial" w:cs="Arial"/>
          <w:bCs/>
        </w:rPr>
      </w:pPr>
      <w:r w:rsidRPr="001C5E24">
        <w:rPr>
          <w:rFonts w:ascii="Arial" w:hAnsi="Arial" w:cs="Arial"/>
          <w:bCs/>
        </w:rPr>
        <w:t>Prevent Staff operate on call via the 101 - 24/7 365</w:t>
      </w:r>
    </w:p>
    <w:p w:rsidR="001C5E24" w:rsidRPr="001C5E24" w:rsidRDefault="001C5E24" w:rsidP="001C5E24">
      <w:pPr>
        <w:ind w:left="284" w:hanging="284"/>
        <w:jc w:val="both"/>
        <w:rPr>
          <w:rFonts w:ascii="Arial" w:hAnsi="Arial" w:cs="Arial"/>
          <w:b/>
        </w:rPr>
      </w:pPr>
    </w:p>
    <w:p w:rsidR="001C5E24" w:rsidRPr="001C5E24" w:rsidRDefault="001C5E24" w:rsidP="001C5E24">
      <w:pPr>
        <w:ind w:left="284" w:hanging="284"/>
        <w:jc w:val="both"/>
        <w:rPr>
          <w:rFonts w:ascii="Arial" w:hAnsi="Arial" w:cs="Arial"/>
          <w:bCs/>
        </w:rPr>
      </w:pPr>
      <w:r w:rsidRPr="001C5E24">
        <w:rPr>
          <w:rFonts w:ascii="Arial" w:hAnsi="Arial" w:cs="Arial"/>
          <w:bCs/>
        </w:rPr>
        <w:t xml:space="preserve">Prevent internal email: Prevent_Inbox@southyorks.pnn.police.uk </w:t>
      </w:r>
    </w:p>
    <w:p w:rsidR="001C5E24" w:rsidRDefault="001C5E24" w:rsidP="001C5E24">
      <w:pPr>
        <w:ind w:left="284" w:hanging="284"/>
        <w:jc w:val="both"/>
        <w:rPr>
          <w:rFonts w:ascii="Arial" w:hAnsi="Arial" w:cs="Arial"/>
          <w:b/>
        </w:rPr>
      </w:pPr>
    </w:p>
    <w:p w:rsidR="001C5E24" w:rsidRPr="001C5E24" w:rsidRDefault="001C5E24" w:rsidP="001C5E24">
      <w:pPr>
        <w:pStyle w:val="NormalWeb"/>
        <w:shd w:val="clear" w:color="auto" w:fill="FFFFFF"/>
        <w:rPr>
          <w:rFonts w:ascii="Arial" w:hAnsi="Arial" w:cs="Arial"/>
          <w:color w:val="4BACC6" w:themeColor="accent5"/>
          <w:lang w:val="en"/>
        </w:rPr>
      </w:pPr>
    </w:p>
    <w:p w:rsidR="00035ED8" w:rsidRPr="002C6392" w:rsidRDefault="00035ED8" w:rsidP="00035ED8">
      <w:pPr>
        <w:pStyle w:val="NormalWeb"/>
        <w:shd w:val="clear" w:color="auto" w:fill="FFFFFF"/>
        <w:rPr>
          <w:rFonts w:ascii="Arial" w:hAnsi="Arial" w:cs="Arial"/>
          <w:color w:val="5B9BD5"/>
        </w:rPr>
      </w:pPr>
      <w:bookmarkStart w:id="0" w:name="_Hlk70510502"/>
      <w:r w:rsidRPr="001C5E24">
        <w:rPr>
          <w:rFonts w:ascii="Arial" w:hAnsi="Arial" w:cs="Arial"/>
          <w:bCs/>
        </w:rPr>
        <w:t>Report Extremist Material:</w:t>
      </w:r>
      <w:r w:rsidRPr="001C5E24">
        <w:rPr>
          <w:rFonts w:ascii="Arial" w:hAnsi="Arial" w:cs="Arial"/>
        </w:rPr>
        <w:t xml:space="preserve"> </w:t>
      </w:r>
      <w:hyperlink r:id="rId9" w:history="1">
        <w:r w:rsidRPr="001C5E24">
          <w:rPr>
            <w:rStyle w:val="Hyperlink"/>
            <w:rFonts w:ascii="Arial" w:hAnsi="Arial" w:cs="Arial"/>
          </w:rPr>
          <w:t>https://www.gov.uk/report-terrorism</w:t>
        </w:r>
      </w:hyperlink>
      <w:r w:rsidRPr="002C6392">
        <w:rPr>
          <w:rFonts w:ascii="Arial" w:hAnsi="Arial" w:cs="Arial"/>
          <w:color w:val="5B9BD5"/>
        </w:rPr>
        <w:t xml:space="preserve"> </w:t>
      </w:r>
    </w:p>
    <w:p w:rsidR="00035ED8" w:rsidRDefault="00035ED8" w:rsidP="00035ED8">
      <w:pPr>
        <w:pStyle w:val="NormalWeb"/>
        <w:shd w:val="clear" w:color="auto" w:fill="FFFFFF"/>
        <w:rPr>
          <w:rFonts w:ascii="Arial" w:hAnsi="Arial" w:cs="Arial"/>
        </w:rPr>
      </w:pPr>
    </w:p>
    <w:p w:rsidR="00035ED8" w:rsidRPr="002C6392" w:rsidRDefault="00035ED8" w:rsidP="00035ED8">
      <w:pPr>
        <w:pStyle w:val="NormalWeb"/>
        <w:shd w:val="clear" w:color="auto" w:fill="FFFFFF"/>
        <w:rPr>
          <w:rFonts w:ascii="Arial" w:hAnsi="Arial" w:cs="Arial"/>
          <w:color w:val="5B9BD5"/>
        </w:rPr>
      </w:pPr>
      <w:r w:rsidRPr="001C5E24">
        <w:rPr>
          <w:rFonts w:ascii="Arial" w:hAnsi="Arial" w:cs="Arial"/>
        </w:rPr>
        <w:t>Preventing Terrorism</w:t>
      </w:r>
      <w:r>
        <w:rPr>
          <w:rFonts w:ascii="Arial" w:hAnsi="Arial" w:cs="Arial"/>
        </w:rPr>
        <w:t>:</w:t>
      </w:r>
      <w:r w:rsidRPr="002C6392">
        <w:rPr>
          <w:rFonts w:ascii="Arial" w:hAnsi="Arial" w:cs="Arial"/>
          <w:b/>
          <w:bCs/>
          <w:color w:val="5B9BD5"/>
        </w:rPr>
        <w:t xml:space="preserve"> </w:t>
      </w:r>
      <w:r w:rsidRPr="002C6392">
        <w:rPr>
          <w:rFonts w:ascii="Arial" w:hAnsi="Arial" w:cs="Arial"/>
          <w:color w:val="5B9BD5"/>
          <w:u w:val="single"/>
        </w:rPr>
        <w:t xml:space="preserve"> </w:t>
      </w:r>
      <w:hyperlink r:id="rId10" w:history="1">
        <w:r w:rsidRPr="001C5E24">
          <w:rPr>
            <w:rStyle w:val="Hyperlink"/>
            <w:rFonts w:ascii="Arial" w:hAnsi="Arial" w:cs="Arial"/>
          </w:rPr>
          <w:t>www.ltai.info</w:t>
        </w:r>
      </w:hyperlink>
    </w:p>
    <w:p w:rsidR="00035ED8" w:rsidRDefault="00035ED8" w:rsidP="00035ED8">
      <w:pPr>
        <w:pStyle w:val="NormalWeb"/>
        <w:shd w:val="clear" w:color="auto" w:fill="FFFFFF"/>
        <w:rPr>
          <w:rFonts w:ascii="Arial" w:hAnsi="Arial" w:cs="Arial"/>
          <w:bCs/>
          <w:lang w:val="en-US"/>
        </w:rPr>
      </w:pPr>
    </w:p>
    <w:p w:rsidR="00035ED8" w:rsidRPr="00C57FEF" w:rsidRDefault="00035ED8" w:rsidP="00035ED8">
      <w:pPr>
        <w:rPr>
          <w:rFonts w:ascii="Arial" w:hAnsi="Arial" w:cs="Arial"/>
          <w:sz w:val="22"/>
          <w:szCs w:val="22"/>
        </w:rPr>
      </w:pPr>
      <w:r>
        <w:rPr>
          <w:rFonts w:ascii="Arial" w:hAnsi="Arial" w:cs="Arial"/>
          <w:bCs/>
          <w:lang w:val="en-US"/>
        </w:rPr>
        <w:t>Ac</w:t>
      </w:r>
      <w:r w:rsidRPr="00C57FEF">
        <w:rPr>
          <w:rFonts w:ascii="Arial" w:hAnsi="Arial" w:cs="Arial"/>
          <w:bCs/>
          <w:lang w:val="en-US"/>
        </w:rPr>
        <w:t xml:space="preserve">t Early:  </w:t>
      </w:r>
      <w:hyperlink r:id="rId11" w:history="1">
        <w:r w:rsidRPr="00C57FEF">
          <w:rPr>
            <w:rStyle w:val="Hyperlink"/>
            <w:rFonts w:ascii="Arial" w:hAnsi="Arial" w:cs="Arial"/>
          </w:rPr>
          <w:t>https://actearly.uk/</w:t>
        </w:r>
      </w:hyperlink>
    </w:p>
    <w:p w:rsidR="00035ED8" w:rsidRDefault="00035ED8" w:rsidP="00035ED8">
      <w:pPr>
        <w:pStyle w:val="NormalWeb"/>
        <w:shd w:val="clear" w:color="auto" w:fill="FFFFFF"/>
        <w:rPr>
          <w:rFonts w:ascii="Arial" w:hAnsi="Arial" w:cs="Arial"/>
          <w:bCs/>
          <w:lang w:val="en-US"/>
        </w:rPr>
      </w:pPr>
    </w:p>
    <w:p w:rsidR="00035ED8" w:rsidRPr="002C6392" w:rsidRDefault="00035ED8" w:rsidP="00035ED8">
      <w:pPr>
        <w:pStyle w:val="NormalWeb"/>
        <w:shd w:val="clear" w:color="auto" w:fill="FFFFFF"/>
        <w:rPr>
          <w:rFonts w:ascii="Arial" w:hAnsi="Arial" w:cs="Arial"/>
          <w:color w:val="5B9BD5"/>
        </w:rPr>
      </w:pPr>
      <w:r w:rsidRPr="001C5E24">
        <w:rPr>
          <w:rFonts w:ascii="Arial" w:hAnsi="Arial" w:cs="Arial"/>
          <w:bCs/>
        </w:rPr>
        <w:t xml:space="preserve">North East Counter Terrorism Unit: </w:t>
      </w:r>
      <w:hyperlink r:id="rId12" w:history="1">
        <w:r w:rsidRPr="001C5E24">
          <w:rPr>
            <w:rStyle w:val="Hyperlink"/>
            <w:rFonts w:ascii="Arial" w:hAnsi="Arial" w:cs="Arial"/>
          </w:rPr>
          <w:t>www.northeastctu.police.uk</w:t>
        </w:r>
      </w:hyperlink>
    </w:p>
    <w:p w:rsidR="00035ED8" w:rsidRDefault="00035ED8" w:rsidP="00035ED8">
      <w:pPr>
        <w:pStyle w:val="NormalWeb"/>
        <w:shd w:val="clear" w:color="auto" w:fill="FFFFFF"/>
        <w:rPr>
          <w:rFonts w:ascii="Arial" w:hAnsi="Arial" w:cs="Arial"/>
          <w:bCs/>
        </w:rPr>
      </w:pPr>
    </w:p>
    <w:p w:rsidR="00035ED8" w:rsidRPr="002C6392" w:rsidRDefault="00035ED8" w:rsidP="00035ED8">
      <w:pPr>
        <w:pStyle w:val="NormalWeb"/>
        <w:shd w:val="clear" w:color="auto" w:fill="FFFFFF"/>
        <w:rPr>
          <w:rFonts w:ascii="Arial" w:hAnsi="Arial" w:cs="Arial"/>
          <w:color w:val="5B9BD5"/>
        </w:rPr>
      </w:pPr>
      <w:r w:rsidRPr="001C5E24">
        <w:rPr>
          <w:rFonts w:ascii="Arial" w:hAnsi="Arial" w:cs="Arial"/>
          <w:bCs/>
        </w:rPr>
        <w:t>UK Anti-Terrorist Hotline Number:</w:t>
      </w:r>
      <w:r w:rsidRPr="001C5E24">
        <w:rPr>
          <w:rFonts w:ascii="Arial" w:hAnsi="Arial" w:cs="Arial"/>
        </w:rPr>
        <w:t xml:space="preserve"> 0800 789 321 </w:t>
      </w:r>
    </w:p>
    <w:bookmarkEnd w:id="0"/>
    <w:p w:rsidR="00035ED8" w:rsidRDefault="00035ED8" w:rsidP="00035ED8">
      <w:pPr>
        <w:pStyle w:val="NormalWeb"/>
        <w:shd w:val="clear" w:color="auto" w:fill="FFFFFF"/>
        <w:rPr>
          <w:rFonts w:ascii="Arial" w:hAnsi="Arial" w:cs="Arial"/>
          <w:bCs/>
        </w:rPr>
      </w:pPr>
    </w:p>
    <w:p w:rsidR="00035ED8" w:rsidRPr="002C6392" w:rsidRDefault="00035ED8" w:rsidP="00035ED8">
      <w:pPr>
        <w:pStyle w:val="NormalWeb"/>
        <w:shd w:val="clear" w:color="auto" w:fill="FFFFFF"/>
        <w:rPr>
          <w:rFonts w:ascii="Arial" w:hAnsi="Arial" w:cs="Arial"/>
          <w:color w:val="5B9BD5"/>
        </w:rPr>
      </w:pPr>
      <w:bookmarkStart w:id="1" w:name="_Hlk70510601"/>
      <w:r w:rsidRPr="001C5E24">
        <w:rPr>
          <w:rFonts w:ascii="Arial" w:hAnsi="Arial" w:cs="Arial"/>
          <w:bCs/>
        </w:rPr>
        <w:t>NaCTSO website is</w:t>
      </w:r>
      <w:r w:rsidRPr="001C5E24">
        <w:rPr>
          <w:rFonts w:ascii="Arial" w:hAnsi="Arial" w:cs="Arial"/>
          <w:b/>
        </w:rPr>
        <w:t xml:space="preserve"> </w:t>
      </w:r>
      <w:hyperlink r:id="rId13" w:history="1">
        <w:r w:rsidRPr="005C2FD7">
          <w:rPr>
            <w:rStyle w:val="Hyperlink"/>
            <w:rFonts w:ascii="Arial" w:hAnsi="Arial" w:cs="Arial"/>
          </w:rPr>
          <w:t>www.nactso.gov.uk</w:t>
        </w:r>
      </w:hyperlink>
      <w:r w:rsidRPr="002C6392">
        <w:rPr>
          <w:rFonts w:ascii="Arial" w:hAnsi="Arial" w:cs="Arial"/>
          <w:color w:val="5B9BD5"/>
        </w:rPr>
        <w:t xml:space="preserve"> </w:t>
      </w:r>
      <w:r w:rsidRPr="001C5E24">
        <w:rPr>
          <w:rFonts w:ascii="Arial" w:hAnsi="Arial" w:cs="Arial"/>
        </w:rPr>
        <w:t>(lockdown &amp; protected space guidance)</w:t>
      </w:r>
    </w:p>
    <w:bookmarkEnd w:id="1"/>
    <w:p w:rsidR="00035ED8" w:rsidRPr="002C6392" w:rsidRDefault="00035ED8" w:rsidP="00035ED8">
      <w:pPr>
        <w:pStyle w:val="NormalWeb"/>
        <w:shd w:val="clear" w:color="auto" w:fill="FFFFFF"/>
        <w:rPr>
          <w:rFonts w:ascii="Arial" w:hAnsi="Arial" w:cs="Arial"/>
          <w:color w:val="5B9BD5"/>
        </w:rPr>
      </w:pPr>
    </w:p>
    <w:p w:rsidR="00035ED8" w:rsidRPr="002C6392" w:rsidRDefault="00035ED8" w:rsidP="00035ED8">
      <w:pPr>
        <w:pStyle w:val="NormalWeb"/>
        <w:shd w:val="clear" w:color="auto" w:fill="FFFFFF"/>
        <w:rPr>
          <w:rFonts w:ascii="Arial" w:hAnsi="Arial" w:cs="Arial"/>
          <w:color w:val="5B9BD5"/>
          <w:lang w:val="en"/>
        </w:rPr>
      </w:pPr>
    </w:p>
    <w:p w:rsidR="001C5E24" w:rsidRDefault="001C5E24" w:rsidP="00870DE1">
      <w:pPr>
        <w:ind w:left="284" w:hanging="284"/>
        <w:jc w:val="both"/>
        <w:rPr>
          <w:rFonts w:ascii="Arial" w:hAnsi="Arial" w:cs="Arial"/>
          <w:b/>
        </w:rPr>
      </w:pPr>
    </w:p>
    <w:p w:rsidR="00035ED8" w:rsidRPr="00035ED8" w:rsidRDefault="00035ED8" w:rsidP="00035ED8">
      <w:pPr>
        <w:ind w:left="284" w:hanging="284"/>
        <w:jc w:val="both"/>
        <w:rPr>
          <w:rFonts w:ascii="Arial" w:hAnsi="Arial" w:cs="Arial"/>
          <w:b/>
        </w:rPr>
      </w:pPr>
      <w:r w:rsidRPr="00035ED8">
        <w:rPr>
          <w:rFonts w:ascii="Arial" w:hAnsi="Arial" w:cs="Arial"/>
          <w:b/>
        </w:rPr>
        <w:t>Prevent Contacts for training / guidance:</w:t>
      </w:r>
    </w:p>
    <w:p w:rsidR="00035ED8" w:rsidRPr="00035ED8" w:rsidRDefault="00035ED8" w:rsidP="00035ED8">
      <w:pPr>
        <w:ind w:left="284"/>
        <w:contextualSpacing/>
        <w:jc w:val="both"/>
        <w:rPr>
          <w:rFonts w:ascii="Arial" w:hAnsi="Arial" w:cs="Arial"/>
        </w:rPr>
      </w:pPr>
    </w:p>
    <w:p w:rsidR="00035ED8" w:rsidRPr="00035ED8" w:rsidRDefault="00035ED8" w:rsidP="00035ED8">
      <w:pPr>
        <w:numPr>
          <w:ilvl w:val="0"/>
          <w:numId w:val="7"/>
        </w:numPr>
        <w:ind w:left="284" w:hanging="284"/>
        <w:contextualSpacing/>
        <w:jc w:val="both"/>
        <w:rPr>
          <w:rFonts w:ascii="Arial" w:hAnsi="Arial" w:cs="Arial"/>
        </w:rPr>
      </w:pPr>
      <w:r w:rsidRPr="00035ED8">
        <w:rPr>
          <w:rFonts w:ascii="Arial" w:hAnsi="Arial" w:cs="Arial"/>
          <w:b/>
        </w:rPr>
        <w:t xml:space="preserve">Doncaster MBC – </w:t>
      </w:r>
      <w:r w:rsidRPr="00035ED8">
        <w:rPr>
          <w:rFonts w:ascii="Arial" w:hAnsi="Arial" w:cs="Arial"/>
        </w:rPr>
        <w:t>Rachael Long, Crime and Community Safety Theme Manager, 01302 737469 (Channel Co-ordinator)</w:t>
      </w:r>
    </w:p>
    <w:p w:rsidR="00035ED8" w:rsidRPr="00035ED8" w:rsidRDefault="00035ED8" w:rsidP="00035ED8">
      <w:pPr>
        <w:jc w:val="both"/>
        <w:rPr>
          <w:rFonts w:ascii="Arial" w:hAnsi="Arial" w:cs="Arial"/>
        </w:rPr>
      </w:pPr>
    </w:p>
    <w:p w:rsidR="00035ED8" w:rsidRPr="00035ED8" w:rsidRDefault="00035ED8" w:rsidP="00035ED8">
      <w:pPr>
        <w:numPr>
          <w:ilvl w:val="0"/>
          <w:numId w:val="7"/>
        </w:numPr>
        <w:ind w:left="284" w:hanging="284"/>
        <w:contextualSpacing/>
        <w:jc w:val="both"/>
        <w:rPr>
          <w:rFonts w:ascii="Arial" w:hAnsi="Arial" w:cs="Arial"/>
        </w:rPr>
      </w:pPr>
      <w:r w:rsidRPr="00035ED8">
        <w:rPr>
          <w:rFonts w:ascii="Arial" w:hAnsi="Arial" w:cs="Arial"/>
          <w:b/>
        </w:rPr>
        <w:t xml:space="preserve">Doncaster MBC </w:t>
      </w:r>
      <w:r w:rsidRPr="00035ED8">
        <w:rPr>
          <w:rFonts w:ascii="Arial" w:hAnsi="Arial" w:cs="Arial"/>
        </w:rPr>
        <w:t>– Bill Hotchkiss, Head of Service, Communities Safer Stronger, 01302 737831 (Channel Chair)</w:t>
      </w:r>
    </w:p>
    <w:p w:rsidR="00035ED8" w:rsidRPr="00035ED8" w:rsidRDefault="00035ED8" w:rsidP="00035ED8">
      <w:pPr>
        <w:ind w:left="720"/>
        <w:rPr>
          <w:rFonts w:ascii="Arial" w:hAnsi="Arial" w:cs="Arial"/>
        </w:rPr>
      </w:pPr>
    </w:p>
    <w:p w:rsidR="00035ED8" w:rsidRPr="00035ED8" w:rsidRDefault="00035ED8" w:rsidP="00035ED8">
      <w:pPr>
        <w:ind w:left="720"/>
        <w:rPr>
          <w:rFonts w:ascii="Arial" w:hAnsi="Arial" w:cs="Arial"/>
          <w:b/>
        </w:rPr>
      </w:pPr>
      <w:bookmarkStart w:id="2" w:name="_GoBack"/>
      <w:bookmarkEnd w:id="2"/>
    </w:p>
    <w:p w:rsidR="00035ED8" w:rsidRPr="00035ED8" w:rsidRDefault="00035ED8" w:rsidP="00035ED8">
      <w:pPr>
        <w:jc w:val="both"/>
        <w:rPr>
          <w:rFonts w:ascii="Arial" w:hAnsi="Arial" w:cs="Arial"/>
          <w:sz w:val="23"/>
          <w:szCs w:val="23"/>
        </w:rPr>
      </w:pPr>
    </w:p>
    <w:p w:rsidR="00870DE1" w:rsidRPr="00870DE1" w:rsidRDefault="00870DE1" w:rsidP="00870DE1">
      <w:pPr>
        <w:ind w:left="720"/>
        <w:rPr>
          <w:rFonts w:ascii="Arial" w:hAnsi="Arial" w:cs="Arial"/>
          <w:b/>
        </w:rPr>
      </w:pPr>
    </w:p>
    <w:p w:rsidR="00870DE1" w:rsidRPr="00870DE1" w:rsidRDefault="00870DE1" w:rsidP="00870DE1">
      <w:pPr>
        <w:ind w:left="284" w:hanging="284"/>
        <w:contextualSpacing/>
        <w:jc w:val="both"/>
        <w:rPr>
          <w:rFonts w:ascii="Arial" w:hAnsi="Arial" w:cs="Arial"/>
        </w:rPr>
      </w:pPr>
    </w:p>
    <w:p w:rsidR="00870DE1" w:rsidRPr="00870DE1" w:rsidRDefault="00870DE1" w:rsidP="00870DE1">
      <w:pPr>
        <w:jc w:val="both"/>
        <w:rPr>
          <w:rFonts w:ascii="Arial" w:hAnsi="Arial" w:cs="Arial"/>
          <w:sz w:val="23"/>
          <w:szCs w:val="23"/>
        </w:rPr>
      </w:pPr>
      <w:r w:rsidRPr="00870DE1">
        <w:rPr>
          <w:rFonts w:ascii="Arial" w:hAnsi="Arial" w:cs="Arial"/>
        </w:rPr>
        <w:t xml:space="preserve"> </w:t>
      </w:r>
    </w:p>
    <w:p w:rsidR="00821283" w:rsidRPr="00821283" w:rsidRDefault="00265985" w:rsidP="00870DE1">
      <w:pPr>
        <w:spacing w:line="276" w:lineRule="auto"/>
        <w:rPr>
          <w:rFonts w:ascii="Arial" w:hAnsi="Arial" w:cs="Arial"/>
          <w:b/>
        </w:rPr>
      </w:pPr>
      <w:r>
        <w:rPr>
          <w:rFonts w:ascii="Arial" w:hAnsi="Arial" w:cs="Arial"/>
        </w:rPr>
        <w:br w:type="page"/>
      </w:r>
      <w:r w:rsidR="00821283" w:rsidRPr="00821283">
        <w:rPr>
          <w:rFonts w:ascii="Arial" w:hAnsi="Arial" w:cs="Arial"/>
        </w:rPr>
        <w:lastRenderedPageBreak/>
        <w:t>The diagram below shows the different stages within the Channel process, for information:</w:t>
      </w:r>
    </w:p>
    <w:p w:rsidR="00821283" w:rsidRDefault="00821283" w:rsidP="00BA4DFF">
      <w:pPr>
        <w:pStyle w:val="ListParagraph"/>
        <w:ind w:left="0"/>
        <w:jc w:val="both"/>
        <w:rPr>
          <w:rFonts w:ascii="Arial" w:hAnsi="Arial" w:cs="Arial"/>
          <w:b/>
          <w:sz w:val="32"/>
          <w:szCs w:val="32"/>
        </w:rPr>
      </w:pPr>
    </w:p>
    <w:tbl>
      <w:tblPr>
        <w:tblStyle w:val="TableGrid"/>
        <w:tblW w:w="0" w:type="auto"/>
        <w:tblLook w:val="04A0" w:firstRow="1" w:lastRow="0" w:firstColumn="1" w:lastColumn="0" w:noHBand="0" w:noVBand="1"/>
      </w:tblPr>
      <w:tblGrid>
        <w:gridCol w:w="8046"/>
      </w:tblGrid>
      <w:tr w:rsidR="003B1436" w:rsidTr="00744E93">
        <w:tc>
          <w:tcPr>
            <w:tcW w:w="8046" w:type="dxa"/>
            <w:shd w:val="clear" w:color="auto" w:fill="A6A6A6" w:themeFill="background1" w:themeFillShade="A6"/>
          </w:tcPr>
          <w:p w:rsidR="00744E93" w:rsidRDefault="00744E93" w:rsidP="00744E93">
            <w:pPr>
              <w:pStyle w:val="ListParagraph"/>
              <w:ind w:left="0"/>
              <w:jc w:val="center"/>
              <w:rPr>
                <w:rFonts w:ascii="Arial" w:hAnsi="Arial" w:cs="Arial"/>
                <w:b/>
                <w:sz w:val="32"/>
                <w:szCs w:val="32"/>
              </w:rPr>
            </w:pPr>
          </w:p>
          <w:p w:rsidR="00744E93" w:rsidRDefault="00744E93" w:rsidP="00744E93">
            <w:pPr>
              <w:pStyle w:val="ListParagraph"/>
              <w:ind w:left="0"/>
              <w:jc w:val="center"/>
              <w:rPr>
                <w:rFonts w:ascii="Arial" w:hAnsi="Arial" w:cs="Arial"/>
                <w:b/>
                <w:sz w:val="32"/>
                <w:szCs w:val="32"/>
              </w:rPr>
            </w:pPr>
            <w:r>
              <w:rPr>
                <w:rFonts w:ascii="Arial" w:hAnsi="Arial" w:cs="Arial"/>
                <w:b/>
                <w:sz w:val="32"/>
                <w:szCs w:val="32"/>
              </w:rPr>
              <w:t>Identification</w:t>
            </w:r>
          </w:p>
          <w:p w:rsidR="00744E93" w:rsidRDefault="00744E93" w:rsidP="00744E93">
            <w:pPr>
              <w:pStyle w:val="ListParagraph"/>
              <w:ind w:left="0"/>
              <w:jc w:val="center"/>
              <w:rPr>
                <w:rFonts w:ascii="Arial" w:hAnsi="Arial" w:cs="Arial"/>
                <w:b/>
                <w:sz w:val="32"/>
                <w:szCs w:val="32"/>
              </w:rPr>
            </w:pPr>
          </w:p>
        </w:tc>
      </w:tr>
    </w:tbl>
    <w:tbl>
      <w:tblPr>
        <w:tblStyle w:val="TableGrid"/>
        <w:tblpPr w:leftFromText="180" w:rightFromText="180" w:vertAnchor="text" w:horzAnchor="page" w:tblpX="9553" w:tblpY="-1085"/>
        <w:tblOverlap w:val="never"/>
        <w:tblW w:w="0" w:type="auto"/>
        <w:tblLook w:val="04A0" w:firstRow="1" w:lastRow="0" w:firstColumn="1" w:lastColumn="0" w:noHBand="0" w:noVBand="1"/>
      </w:tblPr>
      <w:tblGrid>
        <w:gridCol w:w="1610"/>
      </w:tblGrid>
      <w:tr w:rsidR="00744E93" w:rsidTr="00744E93">
        <w:trPr>
          <w:cantSplit/>
          <w:trHeight w:val="8072"/>
        </w:trPr>
        <w:tc>
          <w:tcPr>
            <w:tcW w:w="1610" w:type="dxa"/>
            <w:shd w:val="clear" w:color="auto" w:fill="A6A6A6" w:themeFill="background1" w:themeFillShade="A6"/>
            <w:textDirection w:val="btLr"/>
          </w:tcPr>
          <w:p w:rsidR="00744E93" w:rsidRDefault="00744E93" w:rsidP="00744E93">
            <w:pPr>
              <w:pStyle w:val="ListParagraph"/>
              <w:ind w:left="113" w:right="113"/>
              <w:jc w:val="center"/>
              <w:rPr>
                <w:rFonts w:ascii="Arial" w:hAnsi="Arial" w:cs="Arial"/>
              </w:rPr>
            </w:pPr>
          </w:p>
          <w:p w:rsidR="00744E93" w:rsidRDefault="00744E93" w:rsidP="00744E93">
            <w:pPr>
              <w:pStyle w:val="ListParagraph"/>
              <w:ind w:left="113" w:right="113"/>
              <w:jc w:val="center"/>
              <w:rPr>
                <w:rFonts w:ascii="Arial" w:hAnsi="Arial" w:cs="Arial"/>
              </w:rPr>
            </w:pPr>
          </w:p>
          <w:p w:rsidR="00744E93" w:rsidRPr="00744E93" w:rsidRDefault="00744E93" w:rsidP="00744E93">
            <w:pPr>
              <w:pStyle w:val="ListParagraph"/>
              <w:ind w:left="113" w:right="113"/>
              <w:jc w:val="center"/>
              <w:rPr>
                <w:rFonts w:ascii="Arial" w:hAnsi="Arial" w:cs="Arial"/>
                <w:b/>
                <w:sz w:val="32"/>
                <w:szCs w:val="32"/>
              </w:rPr>
            </w:pPr>
            <w:r w:rsidRPr="00744E93">
              <w:rPr>
                <w:rFonts w:ascii="Arial" w:hAnsi="Arial" w:cs="Arial"/>
                <w:b/>
                <w:sz w:val="32"/>
                <w:szCs w:val="32"/>
              </w:rPr>
              <w:t>Exit</w:t>
            </w:r>
          </w:p>
          <w:p w:rsidR="00744E93" w:rsidRDefault="00744E93" w:rsidP="00744E93">
            <w:pPr>
              <w:pStyle w:val="ListParagraph"/>
              <w:ind w:left="113" w:right="113"/>
              <w:jc w:val="center"/>
              <w:rPr>
                <w:rFonts w:ascii="Arial" w:hAnsi="Arial" w:cs="Arial"/>
              </w:rPr>
            </w:pPr>
            <w:r>
              <w:rPr>
                <w:rFonts w:ascii="Arial" w:hAnsi="Arial" w:cs="Arial"/>
              </w:rPr>
              <w:t>Or referral to alternative support</w:t>
            </w:r>
          </w:p>
        </w:tc>
      </w:tr>
    </w:tbl>
    <w:p w:rsidR="00821283" w:rsidRDefault="00744E93" w:rsidP="00BA4DFF">
      <w:pPr>
        <w:pStyle w:val="ListParagraph"/>
        <w:ind w:left="0"/>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2413635</wp:posOffset>
                </wp:positionH>
                <wp:positionV relativeFrom="paragraph">
                  <wp:posOffset>-4445</wp:posOffset>
                </wp:positionV>
                <wp:extent cx="114300" cy="45720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1143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9EA8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0.05pt;margin-top:-.35pt;width: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" adj="18900" fillcolor="#4f81bd [3204]" strokecolor="#243f60 [1604]" strokeweight="2pt"/>
            </w:pict>
          </mc:Fallback>
        </mc:AlternateContent>
      </w:r>
    </w:p>
    <w:p w:rsidR="00744E93" w:rsidRDefault="00744E93" w:rsidP="00BA4DFF">
      <w:pPr>
        <w:pStyle w:val="ListParagraph"/>
        <w:ind w:left="0"/>
        <w:jc w:val="both"/>
        <w:rPr>
          <w:rFonts w:ascii="Arial" w:hAnsi="Arial" w:cs="Arial"/>
          <w:b/>
          <w:sz w:val="32"/>
          <w:szCs w:val="32"/>
        </w:rPr>
      </w:pPr>
    </w:p>
    <w:tbl>
      <w:tblPr>
        <w:tblStyle w:val="TableGrid"/>
        <w:tblW w:w="0" w:type="auto"/>
        <w:tblLook w:val="04A0" w:firstRow="1" w:lastRow="0" w:firstColumn="1" w:lastColumn="0" w:noHBand="0" w:noVBand="1"/>
      </w:tblPr>
      <w:tblGrid>
        <w:gridCol w:w="8046"/>
      </w:tblGrid>
      <w:tr w:rsidR="00744E93" w:rsidTr="00744E93">
        <w:tc>
          <w:tcPr>
            <w:tcW w:w="8046" w:type="dxa"/>
            <w:shd w:val="clear" w:color="auto" w:fill="F2F2F2" w:themeFill="background1" w:themeFillShade="F2"/>
          </w:tcPr>
          <w:p w:rsidR="00744E93" w:rsidRDefault="00744E93" w:rsidP="00BA4DFF">
            <w:pPr>
              <w:pStyle w:val="ListParagraph"/>
              <w:ind w:left="0"/>
              <w:jc w:val="both"/>
              <w:rPr>
                <w:rFonts w:ascii="Arial" w:hAnsi="Arial" w:cs="Arial"/>
                <w:b/>
                <w:sz w:val="32"/>
                <w:szCs w:val="32"/>
              </w:rPr>
            </w:pPr>
          </w:p>
          <w:p w:rsidR="00744E93" w:rsidRDefault="00744E93" w:rsidP="00744E93">
            <w:pPr>
              <w:pStyle w:val="ListParagraph"/>
              <w:ind w:left="0"/>
              <w:jc w:val="center"/>
              <w:rPr>
                <w:rFonts w:ascii="Arial" w:hAnsi="Arial" w:cs="Arial"/>
                <w:b/>
                <w:sz w:val="32"/>
                <w:szCs w:val="32"/>
              </w:rPr>
            </w:pPr>
            <w:r>
              <w:rPr>
                <w:rFonts w:ascii="Arial" w:hAnsi="Arial" w:cs="Arial"/>
                <w:b/>
                <w:sz w:val="32"/>
                <w:szCs w:val="32"/>
              </w:rPr>
              <w:t>Screen Referrals</w:t>
            </w:r>
          </w:p>
          <w:p w:rsidR="00744E93" w:rsidRPr="00744E93" w:rsidRDefault="001B3689" w:rsidP="00744E93">
            <w:pPr>
              <w:pStyle w:val="ListParagraph"/>
              <w:numPr>
                <w:ilvl w:val="0"/>
                <w:numId w:val="18"/>
              </w:numPr>
              <w:jc w:val="both"/>
              <w:rPr>
                <w:rFonts w:ascii="Arial" w:hAnsi="Arial" w:cs="Arial"/>
                <w:b/>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5033010</wp:posOffset>
                      </wp:positionH>
                      <wp:positionV relativeFrom="paragraph">
                        <wp:posOffset>130810</wp:posOffset>
                      </wp:positionV>
                      <wp:extent cx="190500" cy="45719"/>
                      <wp:effectExtent l="0" t="19050" r="38100" b="31115"/>
                      <wp:wrapNone/>
                      <wp:docPr id="9" name="Right Arrow 9"/>
                      <wp:cNvGraphicFramePr/>
                      <a:graphic xmlns:a="http://schemas.openxmlformats.org/drawingml/2006/main">
                        <a:graphicData uri="http://schemas.microsoft.com/office/word/2010/wordprocessingShape">
                          <wps:wsp>
                            <wps:cNvSpPr/>
                            <wps:spPr>
                              <a:xfrm>
                                <a:off x="0" y="0"/>
                                <a:ext cx="1905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C2FF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96.3pt;margin-top:10.3pt;width:1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" adj="19008" fillcolor="#4f81bd [3204]" strokecolor="#243f60 [1604]" strokeweight="2pt"/>
                  </w:pict>
                </mc:Fallback>
              </mc:AlternateContent>
            </w:r>
            <w:r w:rsidR="00744E93" w:rsidRPr="00744E93">
              <w:rPr>
                <w:rFonts w:ascii="Arial" w:hAnsi="Arial" w:cs="Arial"/>
              </w:rPr>
              <w:t>Screen referral to ensure there is a specific vulnerability around radicalisation and the referral is not malicious or misinformed</w:t>
            </w:r>
          </w:p>
          <w:p w:rsidR="00744E93" w:rsidRPr="00744E93" w:rsidRDefault="00744E93" w:rsidP="00744E93">
            <w:pPr>
              <w:pStyle w:val="ListParagraph"/>
              <w:numPr>
                <w:ilvl w:val="0"/>
                <w:numId w:val="18"/>
              </w:numPr>
              <w:jc w:val="both"/>
              <w:rPr>
                <w:rFonts w:ascii="Arial" w:hAnsi="Arial" w:cs="Arial"/>
                <w:b/>
              </w:rPr>
            </w:pPr>
            <w:r w:rsidRPr="00744E93">
              <w:rPr>
                <w:rFonts w:ascii="Arial" w:hAnsi="Arial" w:cs="Arial"/>
              </w:rPr>
              <w:t>Maintain proper record</w:t>
            </w:r>
          </w:p>
          <w:p w:rsidR="00744E93" w:rsidRDefault="00744E93" w:rsidP="00BA4DFF">
            <w:pPr>
              <w:pStyle w:val="ListParagraph"/>
              <w:ind w:left="0"/>
              <w:jc w:val="both"/>
              <w:rPr>
                <w:rFonts w:ascii="Arial" w:hAnsi="Arial" w:cs="Arial"/>
                <w:b/>
                <w:sz w:val="32"/>
                <w:szCs w:val="32"/>
              </w:rPr>
            </w:pPr>
          </w:p>
        </w:tc>
      </w:tr>
    </w:tbl>
    <w:p w:rsidR="00744E93" w:rsidRDefault="00744E93" w:rsidP="00BA4DFF">
      <w:pPr>
        <w:pStyle w:val="ListParagraph"/>
        <w:ind w:left="0"/>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14:anchorId="747F6D25" wp14:editId="578B1B80">
                <wp:simplePos x="0" y="0"/>
                <wp:positionH relativeFrom="column">
                  <wp:posOffset>2451735</wp:posOffset>
                </wp:positionH>
                <wp:positionV relativeFrom="paragraph">
                  <wp:posOffset>12700</wp:posOffset>
                </wp:positionV>
                <wp:extent cx="45085" cy="447675"/>
                <wp:effectExtent l="19050" t="0" r="31115" b="47625"/>
                <wp:wrapNone/>
                <wp:docPr id="2" name="Down Arrow 2"/>
                <wp:cNvGraphicFramePr/>
                <a:graphic xmlns:a="http://schemas.openxmlformats.org/drawingml/2006/main">
                  <a:graphicData uri="http://schemas.microsoft.com/office/word/2010/wordprocessingShape">
                    <wps:wsp>
                      <wps:cNvSpPr/>
                      <wps:spPr>
                        <a:xfrm>
                          <a:off x="0" y="0"/>
                          <a:ext cx="4508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3FAA2" id="Down Arrow 2" o:spid="_x0000_s1026" type="#_x0000_t67" style="position:absolute;margin-left:193.05pt;margin-top:1pt;width:3.5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" adj="20512" fillcolor="#4f81bd [3204]" strokecolor="#243f60 [1604]" strokeweight="2pt"/>
            </w:pict>
          </mc:Fallback>
        </mc:AlternateContent>
      </w:r>
    </w:p>
    <w:p w:rsidR="00744E93" w:rsidRDefault="00744E93" w:rsidP="00BA4DFF">
      <w:pPr>
        <w:pStyle w:val="ListParagraph"/>
        <w:ind w:left="0"/>
        <w:jc w:val="both"/>
        <w:rPr>
          <w:rFonts w:ascii="Arial" w:hAnsi="Arial" w:cs="Arial"/>
          <w:b/>
          <w:sz w:val="22"/>
          <w:szCs w:val="22"/>
        </w:rPr>
      </w:pPr>
    </w:p>
    <w:p w:rsidR="00744E93" w:rsidRPr="00744E93" w:rsidRDefault="00744E93" w:rsidP="00BA4DFF">
      <w:pPr>
        <w:pStyle w:val="ListParagraph"/>
        <w:ind w:left="0"/>
        <w:jc w:val="both"/>
        <w:rPr>
          <w:rFonts w:ascii="Arial" w:hAnsi="Arial" w:cs="Arial"/>
          <w:b/>
          <w:sz w:val="22"/>
          <w:szCs w:val="22"/>
        </w:rPr>
      </w:pPr>
      <w:r w:rsidRPr="00744E93">
        <w:rPr>
          <w:rFonts w:ascii="Arial" w:hAnsi="Arial" w:cs="Arial"/>
          <w:b/>
          <w:sz w:val="22"/>
          <w:szCs w:val="22"/>
        </w:rPr>
        <w:t>Appropriate</w:t>
      </w:r>
    </w:p>
    <w:tbl>
      <w:tblPr>
        <w:tblStyle w:val="TableGrid"/>
        <w:tblW w:w="0" w:type="auto"/>
        <w:tblLook w:val="04A0" w:firstRow="1" w:lastRow="0" w:firstColumn="1" w:lastColumn="0" w:noHBand="0" w:noVBand="1"/>
      </w:tblPr>
      <w:tblGrid>
        <w:gridCol w:w="8046"/>
      </w:tblGrid>
      <w:tr w:rsidR="00744E93" w:rsidTr="00744E93">
        <w:tc>
          <w:tcPr>
            <w:tcW w:w="8046" w:type="dxa"/>
            <w:shd w:val="clear" w:color="auto" w:fill="F2F2F2" w:themeFill="background1" w:themeFillShade="F2"/>
          </w:tcPr>
          <w:p w:rsidR="00744E93" w:rsidRDefault="00744E93" w:rsidP="00744E93">
            <w:pPr>
              <w:pStyle w:val="ListParagraph"/>
              <w:ind w:left="0"/>
              <w:jc w:val="center"/>
              <w:rPr>
                <w:rFonts w:ascii="Arial" w:hAnsi="Arial" w:cs="Arial"/>
                <w:b/>
                <w:sz w:val="32"/>
                <w:szCs w:val="32"/>
              </w:rPr>
            </w:pPr>
          </w:p>
          <w:p w:rsidR="00744E93" w:rsidRDefault="00744E93" w:rsidP="00744E93">
            <w:pPr>
              <w:pStyle w:val="ListParagraph"/>
              <w:ind w:left="0"/>
              <w:jc w:val="center"/>
              <w:rPr>
                <w:rFonts w:ascii="Arial" w:hAnsi="Arial" w:cs="Arial"/>
                <w:b/>
                <w:sz w:val="32"/>
                <w:szCs w:val="32"/>
              </w:rPr>
            </w:pPr>
            <w:r w:rsidRPr="00744E93">
              <w:rPr>
                <w:rFonts w:ascii="Arial" w:hAnsi="Arial" w:cs="Arial"/>
                <w:b/>
                <w:sz w:val="32"/>
                <w:szCs w:val="32"/>
              </w:rPr>
              <w:t>Preliminary Assessment</w:t>
            </w:r>
          </w:p>
          <w:p w:rsidR="00744E93" w:rsidRPr="00744E93" w:rsidRDefault="00744E93" w:rsidP="00744E93">
            <w:pPr>
              <w:pStyle w:val="ListParagraph"/>
              <w:ind w:left="0"/>
              <w:jc w:val="center"/>
              <w:rPr>
                <w:rFonts w:ascii="Arial" w:hAnsi="Arial" w:cs="Arial"/>
                <w:b/>
              </w:rPr>
            </w:pPr>
          </w:p>
          <w:p w:rsidR="00744E93" w:rsidRPr="00744E93" w:rsidRDefault="001B3689" w:rsidP="00744E93">
            <w:pPr>
              <w:pStyle w:val="ListParagraph"/>
              <w:numPr>
                <w:ilvl w:val="0"/>
                <w:numId w:val="19"/>
              </w:num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5033010</wp:posOffset>
                      </wp:positionH>
                      <wp:positionV relativeFrom="paragraph">
                        <wp:posOffset>85090</wp:posOffset>
                      </wp:positionV>
                      <wp:extent cx="190500" cy="45719"/>
                      <wp:effectExtent l="0" t="19050" r="38100" b="31115"/>
                      <wp:wrapNone/>
                      <wp:docPr id="10" name="Right Arrow 10"/>
                      <wp:cNvGraphicFramePr/>
                      <a:graphic xmlns:a="http://schemas.openxmlformats.org/drawingml/2006/main">
                        <a:graphicData uri="http://schemas.microsoft.com/office/word/2010/wordprocessingShape">
                          <wps:wsp>
                            <wps:cNvSpPr/>
                            <wps:spPr>
                              <a:xfrm>
                                <a:off x="0" y="0"/>
                                <a:ext cx="1905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18C30D" id="Right Arrow 10" o:spid="_x0000_s1026" type="#_x0000_t13" style="position:absolute;margin-left:396.3pt;margin-top:6.7pt;width:1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" adj="19008" fillcolor="#4f81bd [3204]" strokecolor="#243f60 [1604]" strokeweight="2pt"/>
                  </w:pict>
                </mc:Fallback>
              </mc:AlternateContent>
            </w:r>
            <w:r w:rsidR="00744E93" w:rsidRPr="00744E93">
              <w:rPr>
                <w:rFonts w:ascii="Arial" w:hAnsi="Arial" w:cs="Arial"/>
              </w:rPr>
              <w:t>Determine suitability (alternative support mechanisms)</w:t>
            </w:r>
          </w:p>
          <w:p w:rsidR="00744E93" w:rsidRPr="00744E93" w:rsidRDefault="00744E93" w:rsidP="00744E93">
            <w:pPr>
              <w:pStyle w:val="ListParagraph"/>
              <w:numPr>
                <w:ilvl w:val="0"/>
                <w:numId w:val="19"/>
              </w:numPr>
              <w:rPr>
                <w:rFonts w:ascii="Arial" w:hAnsi="Arial" w:cs="Arial"/>
              </w:rPr>
            </w:pPr>
            <w:r w:rsidRPr="00744E93">
              <w:rPr>
                <w:rFonts w:ascii="Arial" w:hAnsi="Arial" w:cs="Arial"/>
              </w:rPr>
              <w:t>Collective assessment of vulnerability and risk</w:t>
            </w:r>
          </w:p>
          <w:p w:rsidR="00744E93" w:rsidRPr="00744E93" w:rsidRDefault="00744E93" w:rsidP="008253D4">
            <w:pPr>
              <w:pStyle w:val="ListParagraph"/>
              <w:rPr>
                <w:rFonts w:ascii="Arial" w:hAnsi="Arial" w:cs="Arial"/>
                <w:sz w:val="32"/>
                <w:szCs w:val="32"/>
              </w:rPr>
            </w:pPr>
          </w:p>
        </w:tc>
      </w:tr>
    </w:tbl>
    <w:p w:rsidR="00744E93" w:rsidRDefault="00744E93" w:rsidP="00BA4DFF">
      <w:pPr>
        <w:pStyle w:val="ListParagraph"/>
        <w:ind w:left="0"/>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3813810</wp:posOffset>
                </wp:positionH>
                <wp:positionV relativeFrom="paragraph">
                  <wp:posOffset>13335</wp:posOffset>
                </wp:positionV>
                <wp:extent cx="45719" cy="457200"/>
                <wp:effectExtent l="19050" t="19050" r="31115" b="19050"/>
                <wp:wrapNone/>
                <wp:docPr id="5" name="Up Arrow 5"/>
                <wp:cNvGraphicFramePr/>
                <a:graphic xmlns:a="http://schemas.openxmlformats.org/drawingml/2006/main">
                  <a:graphicData uri="http://schemas.microsoft.com/office/word/2010/wordprocessingShape">
                    <wps:wsp>
                      <wps:cNvSpPr/>
                      <wps:spPr>
                        <a:xfrm>
                          <a:off x="0" y="0"/>
                          <a:ext cx="45719"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08882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300.3pt;margin-top:1.0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" adj="1080" fillcolor="#4f81bd [3204]" strokecolor="#243f60 [1604]" strokeweight="2pt"/>
            </w:pict>
          </mc:Fallback>
        </mc:AlternateContent>
      </w:r>
      <w:r>
        <w:rPr>
          <w:rFonts w:ascii="Arial" w:hAnsi="Arial" w:cs="Arial"/>
          <w:b/>
          <w:noProof/>
          <w:sz w:val="32"/>
          <w:szCs w:val="32"/>
        </w:rPr>
        <mc:AlternateContent>
          <mc:Choice Requires="wps">
            <w:drawing>
              <wp:anchor distT="0" distB="0" distL="114300" distR="114300" simplePos="0" relativeHeight="251661312" behindDoc="0" locked="0" layoutInCell="1" allowOverlap="1" wp14:anchorId="5A0366F7" wp14:editId="4F91F1A3">
                <wp:simplePos x="0" y="0"/>
                <wp:positionH relativeFrom="column">
                  <wp:posOffset>1346835</wp:posOffset>
                </wp:positionH>
                <wp:positionV relativeFrom="paragraph">
                  <wp:posOffset>13335</wp:posOffset>
                </wp:positionV>
                <wp:extent cx="45719" cy="457200"/>
                <wp:effectExtent l="19050" t="0" r="31115" b="38100"/>
                <wp:wrapNone/>
                <wp:docPr id="3" name="Down Arrow 3"/>
                <wp:cNvGraphicFramePr/>
                <a:graphic xmlns:a="http://schemas.openxmlformats.org/drawingml/2006/main">
                  <a:graphicData uri="http://schemas.microsoft.com/office/word/2010/wordprocessingShape">
                    <wps:wsp>
                      <wps:cNvSpPr/>
                      <wps:spPr>
                        <a:xfrm>
                          <a:off x="0" y="0"/>
                          <a:ext cx="45719"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7CC2B" id="Down Arrow 3" o:spid="_x0000_s1026" type="#_x0000_t67" style="position:absolute;margin-left:106.05pt;margin-top:1.05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" adj="20520" fillcolor="#4f81bd [3204]" strokecolor="#243f60 [1604]" strokeweight="2pt"/>
            </w:pict>
          </mc:Fallback>
        </mc:AlternateContent>
      </w:r>
    </w:p>
    <w:p w:rsidR="00744E93" w:rsidRDefault="00744E93" w:rsidP="00BA4DFF">
      <w:pPr>
        <w:pStyle w:val="ListParagraph"/>
        <w:ind w:left="0"/>
        <w:jc w:val="both"/>
        <w:rPr>
          <w:rFonts w:ascii="Arial" w:hAnsi="Arial" w:cs="Arial"/>
          <w:b/>
          <w:sz w:val="22"/>
          <w:szCs w:val="22"/>
        </w:rPr>
      </w:pPr>
    </w:p>
    <w:p w:rsidR="00821283" w:rsidRDefault="00744E93" w:rsidP="00BA4DFF">
      <w:pPr>
        <w:pStyle w:val="ListParagraph"/>
        <w:ind w:left="0"/>
        <w:jc w:val="both"/>
        <w:rPr>
          <w:rFonts w:ascii="Arial" w:hAnsi="Arial" w:cs="Arial"/>
          <w:b/>
          <w:sz w:val="22"/>
          <w:szCs w:val="22"/>
        </w:rPr>
      </w:pPr>
      <w:r>
        <w:rPr>
          <w:rFonts w:ascii="Arial" w:hAnsi="Arial" w:cs="Arial"/>
          <w:b/>
          <w:sz w:val="22"/>
          <w:szCs w:val="22"/>
        </w:rPr>
        <w:t>S</w:t>
      </w:r>
      <w:r w:rsidRPr="00744E93">
        <w:rPr>
          <w:rFonts w:ascii="Arial" w:hAnsi="Arial" w:cs="Arial"/>
          <w:b/>
          <w:sz w:val="22"/>
          <w:szCs w:val="22"/>
        </w:rPr>
        <w:t>eek endorsement</w:t>
      </w:r>
    </w:p>
    <w:tbl>
      <w:tblPr>
        <w:tblStyle w:val="TableGrid"/>
        <w:tblW w:w="0" w:type="auto"/>
        <w:tblLook w:val="04A0" w:firstRow="1" w:lastRow="0" w:firstColumn="1" w:lastColumn="0" w:noHBand="0" w:noVBand="1"/>
      </w:tblPr>
      <w:tblGrid>
        <w:gridCol w:w="8046"/>
      </w:tblGrid>
      <w:tr w:rsidR="00744E93" w:rsidTr="00744E93">
        <w:tc>
          <w:tcPr>
            <w:tcW w:w="8046" w:type="dxa"/>
            <w:shd w:val="clear" w:color="auto" w:fill="F2F2F2" w:themeFill="background1" w:themeFillShade="F2"/>
          </w:tcPr>
          <w:p w:rsidR="00744E93" w:rsidRDefault="00744E93" w:rsidP="00BA4DFF">
            <w:pPr>
              <w:pStyle w:val="ListParagraph"/>
              <w:ind w:left="0"/>
              <w:jc w:val="both"/>
              <w:rPr>
                <w:rFonts w:ascii="Arial" w:hAnsi="Arial" w:cs="Arial"/>
                <w:b/>
                <w:sz w:val="32"/>
                <w:szCs w:val="32"/>
              </w:rPr>
            </w:pPr>
          </w:p>
          <w:p w:rsidR="00744E93" w:rsidRDefault="00744E93" w:rsidP="00744E93">
            <w:pPr>
              <w:pStyle w:val="ListParagraph"/>
              <w:ind w:left="0"/>
              <w:jc w:val="center"/>
              <w:rPr>
                <w:rFonts w:ascii="Arial" w:hAnsi="Arial" w:cs="Arial"/>
                <w:b/>
                <w:sz w:val="32"/>
                <w:szCs w:val="32"/>
              </w:rPr>
            </w:pPr>
            <w:r>
              <w:rPr>
                <w:rFonts w:ascii="Arial" w:hAnsi="Arial" w:cs="Arial"/>
                <w:b/>
                <w:sz w:val="32"/>
                <w:szCs w:val="32"/>
              </w:rPr>
              <w:t>Multi-Agency Panel</w:t>
            </w:r>
          </w:p>
          <w:p w:rsidR="00744E93" w:rsidRPr="00744E93" w:rsidRDefault="00744E93" w:rsidP="008253D4">
            <w:pPr>
              <w:pStyle w:val="ListParagraph"/>
              <w:numPr>
                <w:ilvl w:val="0"/>
                <w:numId w:val="20"/>
              </w:numPr>
              <w:rPr>
                <w:rFonts w:ascii="Arial" w:hAnsi="Arial" w:cs="Arial"/>
                <w:sz w:val="32"/>
                <w:szCs w:val="32"/>
              </w:rPr>
            </w:pPr>
            <w:r>
              <w:rPr>
                <w:rFonts w:ascii="Arial" w:hAnsi="Arial" w:cs="Arial"/>
              </w:rPr>
              <w:t>Review of vulnerability assessment and risk</w:t>
            </w:r>
          </w:p>
          <w:p w:rsidR="00744E93" w:rsidRPr="00744E93" w:rsidRDefault="00744E93" w:rsidP="008253D4">
            <w:pPr>
              <w:pStyle w:val="ListParagraph"/>
              <w:numPr>
                <w:ilvl w:val="0"/>
                <w:numId w:val="20"/>
              </w:numPr>
              <w:rPr>
                <w:rFonts w:ascii="Arial" w:hAnsi="Arial" w:cs="Arial"/>
                <w:sz w:val="32"/>
                <w:szCs w:val="32"/>
              </w:rPr>
            </w:pPr>
            <w:r>
              <w:rPr>
                <w:rFonts w:ascii="Arial" w:hAnsi="Arial" w:cs="Arial"/>
              </w:rPr>
              <w:t>Collective assessment of support needs</w:t>
            </w:r>
          </w:p>
          <w:p w:rsidR="00744E93" w:rsidRPr="00744E93" w:rsidRDefault="00744E93" w:rsidP="008253D4">
            <w:pPr>
              <w:pStyle w:val="ListParagraph"/>
              <w:numPr>
                <w:ilvl w:val="0"/>
                <w:numId w:val="20"/>
              </w:numPr>
              <w:rPr>
                <w:rFonts w:ascii="Arial" w:hAnsi="Arial" w:cs="Arial"/>
                <w:sz w:val="32"/>
                <w:szCs w:val="32"/>
              </w:rPr>
            </w:pPr>
            <w:r>
              <w:rPr>
                <w:rFonts w:ascii="Arial" w:hAnsi="Arial" w:cs="Arial"/>
              </w:rPr>
              <w:t>Develop support plan</w:t>
            </w:r>
          </w:p>
          <w:p w:rsidR="00744E93" w:rsidRPr="00744E93" w:rsidRDefault="00744E93" w:rsidP="008253D4">
            <w:pPr>
              <w:pStyle w:val="ListParagraph"/>
              <w:numPr>
                <w:ilvl w:val="0"/>
                <w:numId w:val="20"/>
              </w:numPr>
              <w:rPr>
                <w:rFonts w:ascii="Arial" w:hAnsi="Arial" w:cs="Arial"/>
                <w:sz w:val="32"/>
                <w:szCs w:val="32"/>
              </w:rPr>
            </w:pPr>
            <w:r>
              <w:rPr>
                <w:rFonts w:ascii="Arial" w:hAnsi="Arial" w:cs="Arial"/>
              </w:rPr>
              <w:t>Identify and procure appropriate support packs</w:t>
            </w:r>
          </w:p>
          <w:p w:rsidR="00744E93" w:rsidRPr="008253D4" w:rsidRDefault="00744E93" w:rsidP="008253D4">
            <w:pPr>
              <w:pStyle w:val="ListParagraph"/>
              <w:numPr>
                <w:ilvl w:val="0"/>
                <w:numId w:val="20"/>
              </w:numPr>
              <w:jc w:val="both"/>
              <w:rPr>
                <w:rFonts w:ascii="Arial" w:hAnsi="Arial" w:cs="Arial"/>
                <w:b/>
                <w:sz w:val="32"/>
                <w:szCs w:val="32"/>
              </w:rPr>
            </w:pPr>
            <w:r w:rsidRPr="00744E93">
              <w:rPr>
                <w:rFonts w:ascii="Arial" w:hAnsi="Arial" w:cs="Arial"/>
              </w:rPr>
              <w:t>Review progress</w:t>
            </w:r>
          </w:p>
          <w:p w:rsidR="00744E93" w:rsidRDefault="00744E93" w:rsidP="008253D4">
            <w:pPr>
              <w:pStyle w:val="ListParagraph"/>
              <w:rPr>
                <w:rFonts w:ascii="Arial" w:hAnsi="Arial" w:cs="Arial"/>
                <w:b/>
                <w:sz w:val="32"/>
                <w:szCs w:val="32"/>
              </w:rPr>
            </w:pPr>
          </w:p>
        </w:tc>
      </w:tr>
    </w:tbl>
    <w:p w:rsidR="00821283" w:rsidRDefault="00744E93" w:rsidP="00BA4DFF">
      <w:pPr>
        <w:pStyle w:val="ListParagraph"/>
        <w:ind w:left="0"/>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6432" behindDoc="0" locked="0" layoutInCell="1" allowOverlap="1" wp14:anchorId="12B1A557" wp14:editId="4420B62C">
                <wp:simplePos x="0" y="0"/>
                <wp:positionH relativeFrom="column">
                  <wp:posOffset>3811270</wp:posOffset>
                </wp:positionH>
                <wp:positionV relativeFrom="paragraph">
                  <wp:posOffset>13335</wp:posOffset>
                </wp:positionV>
                <wp:extent cx="45085" cy="457200"/>
                <wp:effectExtent l="19050" t="19050" r="31115" b="19050"/>
                <wp:wrapNone/>
                <wp:docPr id="7" name="Up Arrow 7"/>
                <wp:cNvGraphicFramePr/>
                <a:graphic xmlns:a="http://schemas.openxmlformats.org/drawingml/2006/main">
                  <a:graphicData uri="http://schemas.microsoft.com/office/word/2010/wordprocessingShape">
                    <wps:wsp>
                      <wps:cNvSpPr/>
                      <wps:spPr>
                        <a:xfrm>
                          <a:off x="0" y="0"/>
                          <a:ext cx="45085" cy="4572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C54A6" id="Up Arrow 7" o:spid="_x0000_s1026" type="#_x0000_t68" style="position:absolute;margin-left:300.1pt;margin-top:1.05pt;width:3.5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" adj="1065" fillcolor="#4f81bd" strokecolor="#385d8a" strokeweight="2pt"/>
            </w:pict>
          </mc:Fallback>
        </mc:AlternateContent>
      </w:r>
      <w:r>
        <w:rPr>
          <w:rFonts w:ascii="Arial" w:hAnsi="Arial" w:cs="Arial"/>
          <w:b/>
          <w:noProof/>
          <w:sz w:val="32"/>
          <w:szCs w:val="32"/>
        </w:rPr>
        <mc:AlternateContent>
          <mc:Choice Requires="wps">
            <w:drawing>
              <wp:anchor distT="0" distB="0" distL="114300" distR="114300" simplePos="0" relativeHeight="251664384" behindDoc="0" locked="0" layoutInCell="1" allowOverlap="1" wp14:anchorId="42EC1EC8" wp14:editId="7765AD2E">
                <wp:simplePos x="0" y="0"/>
                <wp:positionH relativeFrom="column">
                  <wp:posOffset>1292225</wp:posOffset>
                </wp:positionH>
                <wp:positionV relativeFrom="paragraph">
                  <wp:posOffset>13335</wp:posOffset>
                </wp:positionV>
                <wp:extent cx="45085" cy="457200"/>
                <wp:effectExtent l="19050" t="0" r="31115" b="38100"/>
                <wp:wrapNone/>
                <wp:docPr id="6" name="Down Arrow 6"/>
                <wp:cNvGraphicFramePr/>
                <a:graphic xmlns:a="http://schemas.openxmlformats.org/drawingml/2006/main">
                  <a:graphicData uri="http://schemas.microsoft.com/office/word/2010/wordprocessingShape">
                    <wps:wsp>
                      <wps:cNvSpPr/>
                      <wps:spPr>
                        <a:xfrm>
                          <a:off x="0" y="0"/>
                          <a:ext cx="45085"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039F7" id="Down Arrow 6" o:spid="_x0000_s1026" type="#_x0000_t67" style="position:absolute;margin-left:101.75pt;margin-top:1.05pt;width:3.5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" adj="20535" fillcolor="#4f81bd" strokecolor="#385d8a" strokeweight="2pt"/>
            </w:pict>
          </mc:Fallback>
        </mc:AlternateContent>
      </w:r>
    </w:p>
    <w:p w:rsidR="00744E93" w:rsidRDefault="00744E93" w:rsidP="00BA4DFF">
      <w:pPr>
        <w:pStyle w:val="ListParagraph"/>
        <w:ind w:left="0"/>
        <w:jc w:val="both"/>
        <w:rPr>
          <w:rFonts w:ascii="Arial" w:hAnsi="Arial" w:cs="Arial"/>
          <w:b/>
          <w:sz w:val="22"/>
          <w:szCs w:val="22"/>
        </w:rPr>
      </w:pPr>
    </w:p>
    <w:p w:rsidR="00744E93" w:rsidRPr="00744E93" w:rsidRDefault="00744E93" w:rsidP="00BA4DFF">
      <w:pPr>
        <w:pStyle w:val="ListParagraph"/>
        <w:ind w:left="0"/>
        <w:jc w:val="both"/>
        <w:rPr>
          <w:rFonts w:ascii="Arial" w:hAnsi="Arial" w:cs="Arial"/>
          <w:b/>
          <w:sz w:val="22"/>
          <w:szCs w:val="22"/>
        </w:rPr>
      </w:pPr>
      <w:r w:rsidRPr="00744E93">
        <w:rPr>
          <w:rFonts w:ascii="Arial" w:hAnsi="Arial" w:cs="Arial"/>
          <w:b/>
          <w:sz w:val="22"/>
          <w:szCs w:val="22"/>
        </w:rPr>
        <w:t xml:space="preserve">Review </w:t>
      </w:r>
    </w:p>
    <w:tbl>
      <w:tblPr>
        <w:tblStyle w:val="TableGrid"/>
        <w:tblW w:w="0" w:type="auto"/>
        <w:tblLook w:val="04A0" w:firstRow="1" w:lastRow="0" w:firstColumn="1" w:lastColumn="0" w:noHBand="0" w:noVBand="1"/>
      </w:tblPr>
      <w:tblGrid>
        <w:gridCol w:w="8046"/>
      </w:tblGrid>
      <w:tr w:rsidR="00744E93" w:rsidTr="00744E93">
        <w:tc>
          <w:tcPr>
            <w:tcW w:w="8046" w:type="dxa"/>
            <w:shd w:val="clear" w:color="auto" w:fill="F2F2F2" w:themeFill="background1" w:themeFillShade="F2"/>
          </w:tcPr>
          <w:p w:rsidR="00744E93" w:rsidRDefault="00821283" w:rsidP="00744E93">
            <w:pPr>
              <w:spacing w:line="276" w:lineRule="auto"/>
              <w:jc w:val="center"/>
              <w:rPr>
                <w:rFonts w:ascii="Arial" w:hAnsi="Arial" w:cs="Arial"/>
                <w:sz w:val="32"/>
                <w:szCs w:val="32"/>
              </w:rPr>
            </w:pPr>
            <w:r>
              <w:rPr>
                <w:rFonts w:ascii="Arial" w:hAnsi="Arial" w:cs="Arial"/>
                <w:b/>
                <w:sz w:val="32"/>
                <w:szCs w:val="32"/>
              </w:rPr>
              <w:br w:type="page"/>
            </w:r>
          </w:p>
          <w:p w:rsidR="00744E93" w:rsidRDefault="00744E93" w:rsidP="00744E93">
            <w:pPr>
              <w:spacing w:line="276" w:lineRule="auto"/>
              <w:jc w:val="center"/>
              <w:rPr>
                <w:rFonts w:ascii="Arial" w:hAnsi="Arial" w:cs="Arial"/>
                <w:sz w:val="32"/>
                <w:szCs w:val="32"/>
              </w:rPr>
            </w:pPr>
            <w:r>
              <w:rPr>
                <w:rFonts w:ascii="Arial" w:hAnsi="Arial" w:cs="Arial"/>
                <w:sz w:val="32"/>
                <w:szCs w:val="32"/>
              </w:rPr>
              <w:t>Delivery of Support Package</w:t>
            </w:r>
          </w:p>
          <w:p w:rsidR="008253D4" w:rsidRPr="00D67918" w:rsidRDefault="008253D4" w:rsidP="008253D4">
            <w:pPr>
              <w:pStyle w:val="ListParagraph"/>
              <w:numPr>
                <w:ilvl w:val="0"/>
                <w:numId w:val="21"/>
              </w:numPr>
              <w:rPr>
                <w:rFonts w:ascii="Arial" w:hAnsi="Arial" w:cs="Arial"/>
              </w:rPr>
            </w:pPr>
            <w:r w:rsidRPr="00D67918">
              <w:rPr>
                <w:rFonts w:ascii="Arial" w:hAnsi="Arial" w:cs="Arial"/>
              </w:rPr>
              <w:t>Review panel decisions at 6 and 12 months</w:t>
            </w:r>
          </w:p>
          <w:p w:rsidR="008253D4" w:rsidRDefault="008253D4" w:rsidP="00744E93">
            <w:pPr>
              <w:spacing w:line="276" w:lineRule="auto"/>
              <w:jc w:val="center"/>
              <w:rPr>
                <w:rFonts w:ascii="Arial" w:hAnsi="Arial" w:cs="Arial"/>
                <w:sz w:val="32"/>
                <w:szCs w:val="32"/>
              </w:rPr>
            </w:pPr>
          </w:p>
          <w:p w:rsidR="00744E93" w:rsidRPr="00744E93" w:rsidRDefault="00744E93" w:rsidP="00744E93">
            <w:pPr>
              <w:spacing w:line="276" w:lineRule="auto"/>
              <w:jc w:val="center"/>
              <w:rPr>
                <w:rFonts w:ascii="Arial" w:hAnsi="Arial" w:cs="Arial"/>
                <w:sz w:val="32"/>
                <w:szCs w:val="32"/>
              </w:rPr>
            </w:pPr>
          </w:p>
        </w:tc>
      </w:tr>
    </w:tbl>
    <w:p w:rsidR="00821283" w:rsidRDefault="00821283">
      <w:pPr>
        <w:spacing w:line="276" w:lineRule="auto"/>
        <w:rPr>
          <w:rFonts w:ascii="Arial" w:hAnsi="Arial" w:cs="Arial"/>
          <w:b/>
          <w:sz w:val="32"/>
          <w:szCs w:val="32"/>
        </w:rPr>
      </w:pPr>
    </w:p>
    <w:sectPr w:rsidR="00821283" w:rsidSect="0041400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E93" w:rsidRDefault="00744E93" w:rsidP="00D93D95">
      <w:r>
        <w:separator/>
      </w:r>
    </w:p>
  </w:endnote>
  <w:endnote w:type="continuationSeparator" w:id="0">
    <w:p w:rsidR="00744E93" w:rsidRDefault="00744E93" w:rsidP="00D9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47316"/>
      <w:docPartObj>
        <w:docPartGallery w:val="Page Numbers (Bottom of Page)"/>
        <w:docPartUnique/>
      </w:docPartObj>
    </w:sdtPr>
    <w:sdtEndPr>
      <w:rPr>
        <w:noProof/>
      </w:rPr>
    </w:sdtEndPr>
    <w:sdtContent>
      <w:p w:rsidR="00744E93" w:rsidRDefault="00744E93">
        <w:pPr>
          <w:pStyle w:val="Footer"/>
          <w:jc w:val="center"/>
        </w:pPr>
        <w:r>
          <w:fldChar w:fldCharType="begin"/>
        </w:r>
        <w:r>
          <w:instrText xml:space="preserve"> PAGE   \* MERGEFORMAT </w:instrText>
        </w:r>
        <w:r>
          <w:fldChar w:fldCharType="separate"/>
        </w:r>
        <w:r w:rsidR="005256BE">
          <w:rPr>
            <w:noProof/>
          </w:rPr>
          <w:t>9</w:t>
        </w:r>
        <w:r>
          <w:rPr>
            <w:noProof/>
          </w:rPr>
          <w:fldChar w:fldCharType="end"/>
        </w:r>
      </w:p>
    </w:sdtContent>
  </w:sdt>
  <w:p w:rsidR="00744E93" w:rsidRDefault="0074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E93" w:rsidRDefault="00744E93" w:rsidP="00D93D95">
      <w:r>
        <w:separator/>
      </w:r>
    </w:p>
  </w:footnote>
  <w:footnote w:type="continuationSeparator" w:id="0">
    <w:p w:rsidR="00744E93" w:rsidRDefault="00744E93" w:rsidP="00D93D95">
      <w:r>
        <w:continuationSeparator/>
      </w:r>
    </w:p>
  </w:footnote>
  <w:footnote w:id="1">
    <w:p w:rsidR="00744E93" w:rsidRPr="00AD692A" w:rsidRDefault="00744E93">
      <w:pPr>
        <w:pStyle w:val="FootnoteText"/>
        <w:rPr>
          <w:rFonts w:ascii="Arial" w:hAnsi="Arial" w:cs="Arial"/>
          <w:sz w:val="18"/>
          <w:szCs w:val="18"/>
        </w:rPr>
      </w:pPr>
      <w:r w:rsidRPr="00AD692A">
        <w:rPr>
          <w:rStyle w:val="FootnoteReference"/>
          <w:rFonts w:ascii="Arial" w:hAnsi="Arial" w:cs="Arial"/>
          <w:sz w:val="18"/>
          <w:szCs w:val="18"/>
        </w:rPr>
        <w:footnoteRef/>
      </w:r>
      <w:r w:rsidRPr="00AD692A">
        <w:rPr>
          <w:rFonts w:ascii="Arial" w:hAnsi="Arial" w:cs="Arial"/>
          <w:sz w:val="18"/>
          <w:szCs w:val="18"/>
        </w:rPr>
        <w:t xml:space="preserve"> Countering International Terrorism: The United Kingdom’s Strategy, Cm 6888, July 2006</w:t>
      </w:r>
    </w:p>
  </w:footnote>
  <w:footnote w:id="2">
    <w:p w:rsidR="00744E93" w:rsidRDefault="00744E93" w:rsidP="00560774">
      <w:pPr>
        <w:pStyle w:val="FootnoteText"/>
      </w:pPr>
      <w:r w:rsidRPr="00650C71">
        <w:rPr>
          <w:rStyle w:val="FootnoteReference"/>
          <w:rFonts w:ascii="Arial" w:hAnsi="Arial" w:cs="Arial"/>
          <w:sz w:val="18"/>
          <w:szCs w:val="18"/>
        </w:rPr>
        <w:footnoteRef/>
      </w:r>
      <w:r>
        <w:t xml:space="preserve"> </w:t>
      </w:r>
      <w:r w:rsidRPr="00AD692A">
        <w:rPr>
          <w:rFonts w:ascii="Arial" w:hAnsi="Arial" w:cs="Arial"/>
          <w:i/>
          <w:sz w:val="18"/>
          <w:szCs w:val="18"/>
        </w:rPr>
        <w:t xml:space="preserve">Prevent </w:t>
      </w:r>
      <w:r w:rsidRPr="00AD692A">
        <w:rPr>
          <w:rFonts w:ascii="Arial" w:hAnsi="Arial" w:cs="Arial"/>
          <w:sz w:val="18"/>
          <w:szCs w:val="18"/>
        </w:rPr>
        <w:t>Strategy, Cm 8092, June 2011</w:t>
      </w:r>
      <w:r>
        <w:rPr>
          <w:rFonts w:ascii="Arial" w:hAnsi="Arial" w:cs="Arial"/>
          <w:sz w:val="18"/>
          <w:szCs w:val="18"/>
        </w:rPr>
        <w:t>, page 107</w:t>
      </w:r>
    </w:p>
  </w:footnote>
  <w:footnote w:id="3">
    <w:p w:rsidR="00744E93" w:rsidRPr="00AD692A" w:rsidRDefault="00744E93" w:rsidP="00560774">
      <w:pPr>
        <w:rPr>
          <w:rFonts w:ascii="Arial" w:eastAsiaTheme="minorHAnsi" w:hAnsi="Arial" w:cs="Arial"/>
          <w:sz w:val="18"/>
          <w:szCs w:val="18"/>
          <w:lang w:eastAsia="en-US"/>
        </w:rPr>
      </w:pPr>
      <w:r w:rsidRPr="00AD692A">
        <w:rPr>
          <w:rStyle w:val="FootnoteReference"/>
          <w:rFonts w:ascii="Arial" w:hAnsi="Arial" w:cs="Arial"/>
          <w:sz w:val="18"/>
          <w:szCs w:val="18"/>
        </w:rPr>
        <w:footnoteRef/>
      </w:r>
      <w:r w:rsidRPr="00AD692A">
        <w:rPr>
          <w:rFonts w:ascii="Arial" w:hAnsi="Arial" w:cs="Arial"/>
          <w:sz w:val="18"/>
          <w:szCs w:val="18"/>
        </w:rPr>
        <w:t xml:space="preserve"> Crown Prosecution Service (CPS), 2011 at </w:t>
      </w:r>
      <w:r w:rsidRPr="00AD692A">
        <w:rPr>
          <w:rFonts w:ascii="Arial" w:eastAsiaTheme="minorHAnsi" w:hAnsi="Arial" w:cs="Arial"/>
          <w:color w:val="0000FF" w:themeColor="hyperlink"/>
          <w:sz w:val="18"/>
          <w:szCs w:val="18"/>
          <w:u w:val="single"/>
          <w:lang w:eastAsia="en-US"/>
        </w:rPr>
        <w:t>http://www.cps.gov.uk/publications/prosecution/violent_extremism.html</w:t>
      </w:r>
    </w:p>
    <w:p w:rsidR="00744E93" w:rsidRPr="00AD692A" w:rsidRDefault="00744E93" w:rsidP="00560774">
      <w:pPr>
        <w:pStyle w:val="FootnoteText"/>
        <w:rPr>
          <w:rFonts w:ascii="Arial" w:hAnsi="Arial" w:cs="Arial"/>
          <w:sz w:val="18"/>
          <w:szCs w:val="18"/>
        </w:rPr>
      </w:pPr>
    </w:p>
  </w:footnote>
  <w:footnote w:id="4">
    <w:p w:rsidR="00744E93" w:rsidRPr="00122B0C" w:rsidRDefault="00744E93">
      <w:pPr>
        <w:pStyle w:val="FootnoteText"/>
        <w:rPr>
          <w:rFonts w:ascii="Arial" w:hAnsi="Arial" w:cs="Arial"/>
          <w:i/>
          <w:sz w:val="18"/>
          <w:szCs w:val="18"/>
        </w:rPr>
      </w:pPr>
      <w:r w:rsidRPr="00122B0C">
        <w:rPr>
          <w:rStyle w:val="FootnoteReference"/>
          <w:rFonts w:ascii="Arial" w:hAnsi="Arial" w:cs="Arial"/>
          <w:sz w:val="18"/>
          <w:szCs w:val="18"/>
        </w:rPr>
        <w:footnoteRef/>
      </w:r>
      <w:r w:rsidRPr="00122B0C">
        <w:rPr>
          <w:rFonts w:ascii="Arial" w:hAnsi="Arial" w:cs="Arial"/>
          <w:sz w:val="18"/>
          <w:szCs w:val="18"/>
        </w:rPr>
        <w:t xml:space="preserve"> </w:t>
      </w:r>
      <w:r>
        <w:rPr>
          <w:rFonts w:ascii="Arial" w:hAnsi="Arial" w:cs="Arial"/>
          <w:i/>
          <w:sz w:val="18"/>
          <w:szCs w:val="18"/>
        </w:rPr>
        <w:t xml:space="preserve">Prevent </w:t>
      </w:r>
      <w:r w:rsidRPr="00122B0C">
        <w:rPr>
          <w:rFonts w:ascii="Arial" w:hAnsi="Arial" w:cs="Arial"/>
          <w:sz w:val="18"/>
          <w:szCs w:val="18"/>
        </w:rPr>
        <w:t>Strategy, Cm 8092, June 2011</w:t>
      </w:r>
      <w:r>
        <w:rPr>
          <w:rFonts w:ascii="Arial" w:hAnsi="Arial" w:cs="Arial"/>
          <w:sz w:val="18"/>
          <w:szCs w:val="18"/>
        </w:rPr>
        <w:t>, page 97</w:t>
      </w:r>
    </w:p>
  </w:footnote>
  <w:footnote w:id="5">
    <w:p w:rsidR="00744E93" w:rsidRPr="00E50611" w:rsidRDefault="00744E93">
      <w:pPr>
        <w:pStyle w:val="FootnoteText"/>
        <w:rPr>
          <w:rFonts w:ascii="Arial" w:hAnsi="Arial" w:cs="Arial"/>
          <w:sz w:val="18"/>
          <w:szCs w:val="18"/>
        </w:rPr>
      </w:pPr>
      <w:r w:rsidRPr="00E50611">
        <w:rPr>
          <w:rStyle w:val="FootnoteReference"/>
          <w:rFonts w:ascii="Arial" w:hAnsi="Arial" w:cs="Arial"/>
          <w:sz w:val="18"/>
          <w:szCs w:val="18"/>
        </w:rPr>
        <w:footnoteRef/>
      </w:r>
      <w:r w:rsidRPr="00E50611">
        <w:rPr>
          <w:rFonts w:ascii="Arial" w:hAnsi="Arial" w:cs="Arial"/>
          <w:sz w:val="18"/>
          <w:szCs w:val="18"/>
        </w:rPr>
        <w:t xml:space="preserve"> </w:t>
      </w:r>
      <w:r>
        <w:rPr>
          <w:rFonts w:ascii="Arial" w:hAnsi="Arial" w:cs="Arial"/>
          <w:sz w:val="18"/>
          <w:szCs w:val="18"/>
        </w:rPr>
        <w:t>leading the preventing violent extremism agenda, Local Government Association (LGA), Nov 2008, page 7</w:t>
      </w:r>
    </w:p>
  </w:footnote>
  <w:footnote w:id="6">
    <w:p w:rsidR="00744E93" w:rsidRPr="007233BE" w:rsidRDefault="00744E93" w:rsidP="002D17F5">
      <w:pPr>
        <w:pStyle w:val="FootnoteText"/>
        <w:rPr>
          <w:rFonts w:ascii="Arial" w:hAnsi="Arial" w:cs="Arial"/>
          <w:sz w:val="18"/>
          <w:szCs w:val="18"/>
        </w:rPr>
      </w:pPr>
      <w:r w:rsidRPr="002D17F5">
        <w:rPr>
          <w:rStyle w:val="FootnoteReference"/>
          <w:rFonts w:ascii="Arial" w:hAnsi="Arial" w:cs="Arial"/>
          <w:sz w:val="18"/>
          <w:szCs w:val="18"/>
        </w:rPr>
        <w:footnoteRef/>
      </w:r>
      <w:r w:rsidRPr="002D17F5">
        <w:rPr>
          <w:rFonts w:ascii="Arial" w:hAnsi="Arial" w:cs="Arial"/>
          <w:sz w:val="18"/>
          <w:szCs w:val="18"/>
        </w:rPr>
        <w:t xml:space="preserve"> </w:t>
      </w:r>
      <w:r>
        <w:rPr>
          <w:rFonts w:ascii="Arial" w:hAnsi="Arial" w:cs="Arial"/>
          <w:sz w:val="18"/>
          <w:szCs w:val="18"/>
        </w:rPr>
        <w:t>Pan Greater Manchester Procedure for Working with Adults who are Vulnerable to the Messages of Violent Extremism – A Targeted Safeguarding Approach, January 2010</w:t>
      </w:r>
    </w:p>
    <w:p w:rsidR="00744E93" w:rsidRPr="002D17F5" w:rsidRDefault="00744E93">
      <w:pPr>
        <w:pStyle w:val="FootnoteText"/>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1D"/>
    <w:multiLevelType w:val="hybridMultilevel"/>
    <w:tmpl w:val="E1D2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02332"/>
    <w:multiLevelType w:val="hybridMultilevel"/>
    <w:tmpl w:val="F93E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47F2B"/>
    <w:multiLevelType w:val="hybridMultilevel"/>
    <w:tmpl w:val="F1F2568E"/>
    <w:lvl w:ilvl="0" w:tplc="A65232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2F6B"/>
    <w:multiLevelType w:val="hybridMultilevel"/>
    <w:tmpl w:val="AD40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768E"/>
    <w:multiLevelType w:val="hybridMultilevel"/>
    <w:tmpl w:val="0082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03B2E"/>
    <w:multiLevelType w:val="hybridMultilevel"/>
    <w:tmpl w:val="2F2640B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17457495"/>
    <w:multiLevelType w:val="hybridMultilevel"/>
    <w:tmpl w:val="87542A26"/>
    <w:lvl w:ilvl="0" w:tplc="A65232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D48B5"/>
    <w:multiLevelType w:val="hybridMultilevel"/>
    <w:tmpl w:val="3E6E76C0"/>
    <w:lvl w:ilvl="0" w:tplc="0276B632">
      <w:numFmt w:val="bullet"/>
      <w:lvlText w:val="-"/>
      <w:lvlJc w:val="left"/>
      <w:pPr>
        <w:ind w:left="1446" w:hanging="360"/>
      </w:pPr>
      <w:rPr>
        <w:rFonts w:ascii="Arial" w:eastAsia="Times New Roman" w:hAnsi="Aria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2461519F"/>
    <w:multiLevelType w:val="hybridMultilevel"/>
    <w:tmpl w:val="2FE2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6E29"/>
    <w:multiLevelType w:val="hybridMultilevel"/>
    <w:tmpl w:val="C510AA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7F055C1"/>
    <w:multiLevelType w:val="hybridMultilevel"/>
    <w:tmpl w:val="16D093E0"/>
    <w:lvl w:ilvl="0" w:tplc="A65232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271A3"/>
    <w:multiLevelType w:val="multilevel"/>
    <w:tmpl w:val="87E2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F2917"/>
    <w:multiLevelType w:val="hybridMultilevel"/>
    <w:tmpl w:val="40823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B24A83"/>
    <w:multiLevelType w:val="hybridMultilevel"/>
    <w:tmpl w:val="8410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9690E"/>
    <w:multiLevelType w:val="hybridMultilevel"/>
    <w:tmpl w:val="8A4C1BE2"/>
    <w:lvl w:ilvl="0" w:tplc="483444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250F6"/>
    <w:multiLevelType w:val="hybridMultilevel"/>
    <w:tmpl w:val="BC6CF3BA"/>
    <w:lvl w:ilvl="0" w:tplc="D2C214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A786D"/>
    <w:multiLevelType w:val="hybridMultilevel"/>
    <w:tmpl w:val="AC0482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6048AD"/>
    <w:multiLevelType w:val="hybridMultilevel"/>
    <w:tmpl w:val="1AFCB3D6"/>
    <w:lvl w:ilvl="0" w:tplc="A65232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B691A"/>
    <w:multiLevelType w:val="hybridMultilevel"/>
    <w:tmpl w:val="C83A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6257D"/>
    <w:multiLevelType w:val="hybridMultilevel"/>
    <w:tmpl w:val="AEFA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804DA"/>
    <w:multiLevelType w:val="hybridMultilevel"/>
    <w:tmpl w:val="0C5EB008"/>
    <w:lvl w:ilvl="0" w:tplc="5B8EB8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B553C"/>
    <w:multiLevelType w:val="hybridMultilevel"/>
    <w:tmpl w:val="16BEF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40851"/>
    <w:multiLevelType w:val="hybridMultilevel"/>
    <w:tmpl w:val="BADE5428"/>
    <w:lvl w:ilvl="0" w:tplc="C95C75EE">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78CE3B78"/>
    <w:multiLevelType w:val="hybridMultilevel"/>
    <w:tmpl w:val="799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011E7"/>
    <w:multiLevelType w:val="hybridMultilevel"/>
    <w:tmpl w:val="BF04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
  </w:num>
  <w:num w:numId="4">
    <w:abstractNumId w:val="8"/>
  </w:num>
  <w:num w:numId="5">
    <w:abstractNumId w:val="24"/>
  </w:num>
  <w:num w:numId="6">
    <w:abstractNumId w:val="0"/>
  </w:num>
  <w:num w:numId="7">
    <w:abstractNumId w:val="16"/>
  </w:num>
  <w:num w:numId="8">
    <w:abstractNumId w:val="7"/>
  </w:num>
  <w:num w:numId="9">
    <w:abstractNumId w:val="4"/>
  </w:num>
  <w:num w:numId="10">
    <w:abstractNumId w:val="14"/>
  </w:num>
  <w:num w:numId="11">
    <w:abstractNumId w:val="5"/>
  </w:num>
  <w:num w:numId="12">
    <w:abstractNumId w:val="21"/>
  </w:num>
  <w:num w:numId="13">
    <w:abstractNumId w:val="1"/>
  </w:num>
  <w:num w:numId="14">
    <w:abstractNumId w:val="20"/>
  </w:num>
  <w:num w:numId="15">
    <w:abstractNumId w:val="13"/>
  </w:num>
  <w:num w:numId="16">
    <w:abstractNumId w:val="2"/>
  </w:num>
  <w:num w:numId="17">
    <w:abstractNumId w:val="15"/>
  </w:num>
  <w:num w:numId="18">
    <w:abstractNumId w:val="6"/>
  </w:num>
  <w:num w:numId="19">
    <w:abstractNumId w:val="10"/>
  </w:num>
  <w:num w:numId="20">
    <w:abstractNumId w:val="17"/>
  </w:num>
  <w:num w:numId="21">
    <w:abstractNumId w:val="19"/>
  </w:num>
  <w:num w:numId="22">
    <w:abstractNumId w:val="9"/>
  </w:num>
  <w:num w:numId="23">
    <w:abstractNumId w:val="22"/>
  </w:num>
  <w:num w:numId="24">
    <w:abstractNumId w:val="18"/>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CD6"/>
    <w:rsid w:val="000026BD"/>
    <w:rsid w:val="00003591"/>
    <w:rsid w:val="00035ED8"/>
    <w:rsid w:val="00043027"/>
    <w:rsid w:val="0007089F"/>
    <w:rsid w:val="000A523A"/>
    <w:rsid w:val="000B1066"/>
    <w:rsid w:val="000B1BA3"/>
    <w:rsid w:val="000C1C98"/>
    <w:rsid w:val="000C3929"/>
    <w:rsid w:val="000E71BE"/>
    <w:rsid w:val="000F1FB9"/>
    <w:rsid w:val="0011316D"/>
    <w:rsid w:val="00122B0C"/>
    <w:rsid w:val="00126AB8"/>
    <w:rsid w:val="001417E3"/>
    <w:rsid w:val="00180345"/>
    <w:rsid w:val="00182CBB"/>
    <w:rsid w:val="001B04B0"/>
    <w:rsid w:val="001B3689"/>
    <w:rsid w:val="001B63CB"/>
    <w:rsid w:val="001C1AB7"/>
    <w:rsid w:val="001C1B49"/>
    <w:rsid w:val="001C5D6C"/>
    <w:rsid w:val="001C5E24"/>
    <w:rsid w:val="00252E07"/>
    <w:rsid w:val="002532D2"/>
    <w:rsid w:val="002622AA"/>
    <w:rsid w:val="002648B1"/>
    <w:rsid w:val="00265985"/>
    <w:rsid w:val="00274A41"/>
    <w:rsid w:val="00295558"/>
    <w:rsid w:val="002C18C2"/>
    <w:rsid w:val="002D1521"/>
    <w:rsid w:val="002D17F5"/>
    <w:rsid w:val="002D6941"/>
    <w:rsid w:val="00305346"/>
    <w:rsid w:val="00324241"/>
    <w:rsid w:val="003325E4"/>
    <w:rsid w:val="00340A8A"/>
    <w:rsid w:val="00364B24"/>
    <w:rsid w:val="0037271D"/>
    <w:rsid w:val="003829BE"/>
    <w:rsid w:val="003B1436"/>
    <w:rsid w:val="003C5A2C"/>
    <w:rsid w:val="003C6906"/>
    <w:rsid w:val="003D4FFE"/>
    <w:rsid w:val="00414003"/>
    <w:rsid w:val="0041463C"/>
    <w:rsid w:val="00430E5C"/>
    <w:rsid w:val="00444E93"/>
    <w:rsid w:val="00465230"/>
    <w:rsid w:val="00481897"/>
    <w:rsid w:val="004A0438"/>
    <w:rsid w:val="004C4E78"/>
    <w:rsid w:val="00506AA9"/>
    <w:rsid w:val="0051168C"/>
    <w:rsid w:val="00514FBD"/>
    <w:rsid w:val="0052173D"/>
    <w:rsid w:val="00522F4A"/>
    <w:rsid w:val="005256BE"/>
    <w:rsid w:val="00533D8E"/>
    <w:rsid w:val="00540DD7"/>
    <w:rsid w:val="00554AED"/>
    <w:rsid w:val="00555F80"/>
    <w:rsid w:val="0055650E"/>
    <w:rsid w:val="00560774"/>
    <w:rsid w:val="005F4422"/>
    <w:rsid w:val="00603AD3"/>
    <w:rsid w:val="0063687F"/>
    <w:rsid w:val="00650C71"/>
    <w:rsid w:val="00685CD6"/>
    <w:rsid w:val="0068652B"/>
    <w:rsid w:val="006C302E"/>
    <w:rsid w:val="006D0204"/>
    <w:rsid w:val="006F6D74"/>
    <w:rsid w:val="00715CC0"/>
    <w:rsid w:val="007233BE"/>
    <w:rsid w:val="00744E93"/>
    <w:rsid w:val="0076107C"/>
    <w:rsid w:val="00772FD2"/>
    <w:rsid w:val="00787CC9"/>
    <w:rsid w:val="007903E9"/>
    <w:rsid w:val="00794DF3"/>
    <w:rsid w:val="007A5497"/>
    <w:rsid w:val="007B7A76"/>
    <w:rsid w:val="007C26F3"/>
    <w:rsid w:val="007C54EF"/>
    <w:rsid w:val="007E0E68"/>
    <w:rsid w:val="00821283"/>
    <w:rsid w:val="008253D4"/>
    <w:rsid w:val="00842989"/>
    <w:rsid w:val="0085012F"/>
    <w:rsid w:val="0086345B"/>
    <w:rsid w:val="00870DE1"/>
    <w:rsid w:val="00876CEA"/>
    <w:rsid w:val="00890E28"/>
    <w:rsid w:val="008A6416"/>
    <w:rsid w:val="008B6847"/>
    <w:rsid w:val="008F6852"/>
    <w:rsid w:val="00905D53"/>
    <w:rsid w:val="009235FF"/>
    <w:rsid w:val="00997412"/>
    <w:rsid w:val="009B609E"/>
    <w:rsid w:val="00A0202C"/>
    <w:rsid w:val="00A30C24"/>
    <w:rsid w:val="00A72741"/>
    <w:rsid w:val="00A8516D"/>
    <w:rsid w:val="00A85C9F"/>
    <w:rsid w:val="00A85EC0"/>
    <w:rsid w:val="00A879A3"/>
    <w:rsid w:val="00A9043C"/>
    <w:rsid w:val="00AA3045"/>
    <w:rsid w:val="00AC092E"/>
    <w:rsid w:val="00AC42D1"/>
    <w:rsid w:val="00AD194B"/>
    <w:rsid w:val="00AD29C0"/>
    <w:rsid w:val="00AD591D"/>
    <w:rsid w:val="00AD692A"/>
    <w:rsid w:val="00AF6544"/>
    <w:rsid w:val="00B062C2"/>
    <w:rsid w:val="00B32546"/>
    <w:rsid w:val="00B47586"/>
    <w:rsid w:val="00B91DCF"/>
    <w:rsid w:val="00B9420B"/>
    <w:rsid w:val="00B97F73"/>
    <w:rsid w:val="00BA1B36"/>
    <w:rsid w:val="00BA4DFF"/>
    <w:rsid w:val="00BA6091"/>
    <w:rsid w:val="00BB05A8"/>
    <w:rsid w:val="00BD3846"/>
    <w:rsid w:val="00BD5944"/>
    <w:rsid w:val="00BD7490"/>
    <w:rsid w:val="00BF452E"/>
    <w:rsid w:val="00C07DFA"/>
    <w:rsid w:val="00C322AE"/>
    <w:rsid w:val="00C4071D"/>
    <w:rsid w:val="00C57FEF"/>
    <w:rsid w:val="00C73A1F"/>
    <w:rsid w:val="00C85705"/>
    <w:rsid w:val="00C86B31"/>
    <w:rsid w:val="00C97725"/>
    <w:rsid w:val="00CB73F7"/>
    <w:rsid w:val="00CD15E1"/>
    <w:rsid w:val="00CD6359"/>
    <w:rsid w:val="00CE17D0"/>
    <w:rsid w:val="00CF3EEE"/>
    <w:rsid w:val="00CF70C3"/>
    <w:rsid w:val="00D0029F"/>
    <w:rsid w:val="00D21609"/>
    <w:rsid w:val="00D44891"/>
    <w:rsid w:val="00D4699C"/>
    <w:rsid w:val="00D64811"/>
    <w:rsid w:val="00D67918"/>
    <w:rsid w:val="00D85FF8"/>
    <w:rsid w:val="00D93D95"/>
    <w:rsid w:val="00DB1F9A"/>
    <w:rsid w:val="00DF6E37"/>
    <w:rsid w:val="00E0016C"/>
    <w:rsid w:val="00E50611"/>
    <w:rsid w:val="00E55A52"/>
    <w:rsid w:val="00E657BB"/>
    <w:rsid w:val="00E93190"/>
    <w:rsid w:val="00EC335E"/>
    <w:rsid w:val="00F4596E"/>
    <w:rsid w:val="00F73E23"/>
    <w:rsid w:val="00F74034"/>
    <w:rsid w:val="00FC2D80"/>
    <w:rsid w:val="00FD3F66"/>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AB3566B"/>
  <w15:docId w15:val="{9A7A790B-06F3-4E50-BAF6-E54E7C6E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D6"/>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D95"/>
  </w:style>
  <w:style w:type="paragraph" w:styleId="ListParagraph">
    <w:name w:val="List Paragraph"/>
    <w:basedOn w:val="Normal"/>
    <w:uiPriority w:val="34"/>
    <w:qFormat/>
    <w:rsid w:val="00D93D95"/>
    <w:pPr>
      <w:ind w:left="720"/>
      <w:contextualSpacing/>
    </w:pPr>
  </w:style>
  <w:style w:type="paragraph" w:styleId="Header">
    <w:name w:val="header"/>
    <w:basedOn w:val="Normal"/>
    <w:link w:val="HeaderChar"/>
    <w:uiPriority w:val="99"/>
    <w:unhideWhenUsed/>
    <w:rsid w:val="00D93D95"/>
    <w:pPr>
      <w:tabs>
        <w:tab w:val="center" w:pos="4513"/>
        <w:tab w:val="right" w:pos="9026"/>
      </w:tabs>
    </w:pPr>
  </w:style>
  <w:style w:type="character" w:customStyle="1" w:styleId="HeaderChar">
    <w:name w:val="Header Char"/>
    <w:basedOn w:val="DefaultParagraphFont"/>
    <w:link w:val="Header"/>
    <w:uiPriority w:val="99"/>
    <w:rsid w:val="00D93D9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3D95"/>
    <w:pPr>
      <w:tabs>
        <w:tab w:val="center" w:pos="4513"/>
        <w:tab w:val="right" w:pos="9026"/>
      </w:tabs>
    </w:pPr>
  </w:style>
  <w:style w:type="character" w:customStyle="1" w:styleId="FooterChar">
    <w:name w:val="Footer Char"/>
    <w:basedOn w:val="DefaultParagraphFont"/>
    <w:link w:val="Footer"/>
    <w:uiPriority w:val="99"/>
    <w:rsid w:val="00D93D9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3D95"/>
    <w:rPr>
      <w:rFonts w:ascii="Tahoma" w:hAnsi="Tahoma" w:cs="Tahoma"/>
      <w:sz w:val="16"/>
      <w:szCs w:val="16"/>
    </w:rPr>
  </w:style>
  <w:style w:type="character" w:customStyle="1" w:styleId="BalloonTextChar">
    <w:name w:val="Balloon Text Char"/>
    <w:basedOn w:val="DefaultParagraphFont"/>
    <w:link w:val="BalloonText"/>
    <w:uiPriority w:val="99"/>
    <w:semiHidden/>
    <w:rsid w:val="00D93D95"/>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D95"/>
    <w:rPr>
      <w:sz w:val="20"/>
      <w:szCs w:val="20"/>
    </w:rPr>
  </w:style>
  <w:style w:type="character" w:customStyle="1" w:styleId="FootnoteTextChar">
    <w:name w:val="Footnote Text Char"/>
    <w:basedOn w:val="DefaultParagraphFont"/>
    <w:link w:val="FootnoteText"/>
    <w:uiPriority w:val="99"/>
    <w:semiHidden/>
    <w:rsid w:val="00D93D9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93D95"/>
    <w:rPr>
      <w:vertAlign w:val="superscript"/>
    </w:rPr>
  </w:style>
  <w:style w:type="character" w:customStyle="1" w:styleId="A4">
    <w:name w:val="A4"/>
    <w:uiPriority w:val="99"/>
    <w:rsid w:val="00CE17D0"/>
    <w:rPr>
      <w:rFonts w:cs="GillSans"/>
      <w:color w:val="000000"/>
    </w:rPr>
  </w:style>
  <w:style w:type="table" w:styleId="TableGrid">
    <w:name w:val="Table Grid"/>
    <w:basedOn w:val="TableNormal"/>
    <w:uiPriority w:val="59"/>
    <w:rsid w:val="003B14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6BE"/>
    <w:rPr>
      <w:color w:val="0000FF"/>
      <w:u w:val="single"/>
    </w:rPr>
  </w:style>
  <w:style w:type="character" w:styleId="Strong">
    <w:name w:val="Strong"/>
    <w:basedOn w:val="DefaultParagraphFont"/>
    <w:uiPriority w:val="22"/>
    <w:qFormat/>
    <w:rsid w:val="001C5E24"/>
    <w:rPr>
      <w:b/>
      <w:bCs/>
    </w:rPr>
  </w:style>
  <w:style w:type="character" w:styleId="UnresolvedMention">
    <w:name w:val="Unresolved Mention"/>
    <w:basedOn w:val="DefaultParagraphFont"/>
    <w:uiPriority w:val="99"/>
    <w:semiHidden/>
    <w:unhideWhenUsed/>
    <w:rsid w:val="001C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45546">
      <w:bodyDiv w:val="1"/>
      <w:marLeft w:val="0"/>
      <w:marRight w:val="0"/>
      <w:marTop w:val="0"/>
      <w:marBottom w:val="0"/>
      <w:divBdr>
        <w:top w:val="none" w:sz="0" w:space="0" w:color="auto"/>
        <w:left w:val="none" w:sz="0" w:space="0" w:color="auto"/>
        <w:bottom w:val="none" w:sz="0" w:space="0" w:color="auto"/>
        <w:right w:val="none" w:sz="0" w:space="0" w:color="auto"/>
      </w:divBdr>
    </w:div>
    <w:div w:id="464204947">
      <w:bodyDiv w:val="1"/>
      <w:marLeft w:val="0"/>
      <w:marRight w:val="0"/>
      <w:marTop w:val="0"/>
      <w:marBottom w:val="0"/>
      <w:divBdr>
        <w:top w:val="none" w:sz="0" w:space="0" w:color="auto"/>
        <w:left w:val="none" w:sz="0" w:space="0" w:color="auto"/>
        <w:bottom w:val="none" w:sz="0" w:space="0" w:color="auto"/>
        <w:right w:val="none" w:sz="0" w:space="0" w:color="auto"/>
      </w:divBdr>
    </w:div>
    <w:div w:id="557009601">
      <w:bodyDiv w:val="1"/>
      <w:marLeft w:val="0"/>
      <w:marRight w:val="0"/>
      <w:marTop w:val="0"/>
      <w:marBottom w:val="0"/>
      <w:divBdr>
        <w:top w:val="none" w:sz="0" w:space="0" w:color="auto"/>
        <w:left w:val="none" w:sz="0" w:space="0" w:color="auto"/>
        <w:bottom w:val="none" w:sz="0" w:space="0" w:color="auto"/>
        <w:right w:val="none" w:sz="0" w:space="0" w:color="auto"/>
      </w:divBdr>
    </w:div>
    <w:div w:id="593128929">
      <w:bodyDiv w:val="1"/>
      <w:marLeft w:val="0"/>
      <w:marRight w:val="0"/>
      <w:marTop w:val="0"/>
      <w:marBottom w:val="0"/>
      <w:divBdr>
        <w:top w:val="none" w:sz="0" w:space="0" w:color="auto"/>
        <w:left w:val="none" w:sz="0" w:space="0" w:color="auto"/>
        <w:bottom w:val="none" w:sz="0" w:space="0" w:color="auto"/>
        <w:right w:val="none" w:sz="0" w:space="0" w:color="auto"/>
      </w:divBdr>
      <w:divsChild>
        <w:div w:id="762335048">
          <w:marLeft w:val="0"/>
          <w:marRight w:val="0"/>
          <w:marTop w:val="0"/>
          <w:marBottom w:val="0"/>
          <w:divBdr>
            <w:top w:val="none" w:sz="0" w:space="0" w:color="auto"/>
            <w:left w:val="none" w:sz="0" w:space="0" w:color="auto"/>
            <w:bottom w:val="none" w:sz="0" w:space="0" w:color="auto"/>
            <w:right w:val="none" w:sz="0" w:space="0" w:color="auto"/>
          </w:divBdr>
          <w:divsChild>
            <w:div w:id="1231189572">
              <w:marLeft w:val="0"/>
              <w:marRight w:val="0"/>
              <w:marTop w:val="0"/>
              <w:marBottom w:val="0"/>
              <w:divBdr>
                <w:top w:val="none" w:sz="0" w:space="0" w:color="auto"/>
                <w:left w:val="none" w:sz="0" w:space="0" w:color="auto"/>
                <w:bottom w:val="none" w:sz="0" w:space="0" w:color="auto"/>
                <w:right w:val="none" w:sz="0" w:space="0" w:color="auto"/>
              </w:divBdr>
              <w:divsChild>
                <w:div w:id="14184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2323">
      <w:bodyDiv w:val="1"/>
      <w:marLeft w:val="0"/>
      <w:marRight w:val="0"/>
      <w:marTop w:val="0"/>
      <w:marBottom w:val="0"/>
      <w:divBdr>
        <w:top w:val="none" w:sz="0" w:space="0" w:color="auto"/>
        <w:left w:val="none" w:sz="0" w:space="0" w:color="auto"/>
        <w:bottom w:val="none" w:sz="0" w:space="0" w:color="auto"/>
        <w:right w:val="none" w:sz="0" w:space="0" w:color="auto"/>
      </w:divBdr>
    </w:div>
    <w:div w:id="1016615226">
      <w:bodyDiv w:val="1"/>
      <w:marLeft w:val="0"/>
      <w:marRight w:val="0"/>
      <w:marTop w:val="0"/>
      <w:marBottom w:val="0"/>
      <w:divBdr>
        <w:top w:val="none" w:sz="0" w:space="0" w:color="auto"/>
        <w:left w:val="none" w:sz="0" w:space="0" w:color="auto"/>
        <w:bottom w:val="none" w:sz="0" w:space="0" w:color="auto"/>
        <w:right w:val="none" w:sz="0" w:space="0" w:color="auto"/>
      </w:divBdr>
      <w:divsChild>
        <w:div w:id="1511796300">
          <w:marLeft w:val="0"/>
          <w:marRight w:val="0"/>
          <w:marTop w:val="0"/>
          <w:marBottom w:val="0"/>
          <w:divBdr>
            <w:top w:val="none" w:sz="0" w:space="0" w:color="auto"/>
            <w:left w:val="none" w:sz="0" w:space="0" w:color="auto"/>
            <w:bottom w:val="none" w:sz="0" w:space="0" w:color="auto"/>
            <w:right w:val="none" w:sz="0" w:space="0" w:color="auto"/>
          </w:divBdr>
          <w:divsChild>
            <w:div w:id="909464891">
              <w:marLeft w:val="0"/>
              <w:marRight w:val="0"/>
              <w:marTop w:val="0"/>
              <w:marBottom w:val="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21204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cts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eastctu.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early.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tai.info/" TargetMode="External"/><Relationship Id="rId4" Type="http://schemas.openxmlformats.org/officeDocument/2006/relationships/settings" Target="settings.xml"/><Relationship Id="rId9" Type="http://schemas.openxmlformats.org/officeDocument/2006/relationships/hyperlink" Target="https://www.gov.uk/report-terrori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4873-D075-408F-8C96-6CE3ABCF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Long, Rachael (DMBC)</cp:lastModifiedBy>
  <cp:revision>3</cp:revision>
  <cp:lastPrinted>2013-06-03T12:46:00Z</cp:lastPrinted>
  <dcterms:created xsi:type="dcterms:W3CDTF">2021-11-23T12:17:00Z</dcterms:created>
  <dcterms:modified xsi:type="dcterms:W3CDTF">2021-11-23T12:20:00Z</dcterms:modified>
</cp:coreProperties>
</file>